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napToGrid w:val="0"/>
        <w:spacing w:line="540" w:lineRule="exact"/>
        <w:jc w:val="center"/>
        <w:rPr>
          <w:rFonts w:ascii="Arial Narrow" w:hAnsi="Arial Narrow" w:eastAsia="仿宋_GB2312" w:cs="宋体"/>
          <w:color w:val="auto"/>
          <w:sz w:val="30"/>
          <w:szCs w:val="30"/>
        </w:rPr>
      </w:pPr>
    </w:p>
    <w:p>
      <w:pPr>
        <w:snapToGrid w:val="0"/>
        <w:spacing w:line="540" w:lineRule="exact"/>
        <w:jc w:val="center"/>
        <w:rPr>
          <w:rFonts w:ascii="黑体" w:hAnsi="黑体" w:eastAsia="黑体"/>
          <w:b/>
          <w:color w:val="auto"/>
          <w:sz w:val="44"/>
          <w:szCs w:val="44"/>
        </w:rPr>
      </w:pPr>
      <w:r>
        <w:rPr>
          <w:rFonts w:ascii="黑体" w:hAnsi="黑体" w:eastAsia="黑体"/>
          <w:b/>
          <w:color w:val="auto"/>
          <w:sz w:val="44"/>
          <w:szCs w:val="44"/>
        </w:rPr>
        <w:t>201</w:t>
      </w:r>
      <w:r>
        <w:rPr>
          <w:rFonts w:hint="eastAsia" w:ascii="黑体" w:hAnsi="黑体" w:eastAsia="黑体"/>
          <w:b/>
          <w:color w:val="auto"/>
          <w:sz w:val="44"/>
          <w:szCs w:val="44"/>
        </w:rPr>
        <w:t>6</w:t>
      </w:r>
      <w:r>
        <w:rPr>
          <w:rFonts w:ascii="黑体" w:hAnsi="黑体" w:eastAsia="黑体"/>
          <w:b/>
          <w:color w:val="auto"/>
          <w:sz w:val="44"/>
          <w:szCs w:val="44"/>
        </w:rPr>
        <w:t>年全国职业院校技能大赛</w:t>
      </w:r>
    </w:p>
    <w:p>
      <w:pPr>
        <w:snapToGrid w:val="0"/>
        <w:spacing w:line="540" w:lineRule="exact"/>
        <w:jc w:val="center"/>
        <w:rPr>
          <w:rFonts w:ascii="黑体" w:hAnsi="黑体" w:eastAsia="黑体"/>
          <w:b/>
          <w:color w:val="auto"/>
          <w:sz w:val="44"/>
          <w:szCs w:val="44"/>
        </w:rPr>
      </w:pPr>
      <w:r>
        <w:rPr>
          <w:rFonts w:ascii="黑体" w:hAnsi="黑体" w:eastAsia="黑体"/>
          <w:b/>
          <w:color w:val="auto"/>
          <w:sz w:val="44"/>
          <w:szCs w:val="44"/>
        </w:rPr>
        <w:t>竞赛项目方案申报书</w:t>
      </w:r>
    </w:p>
    <w:p>
      <w:pPr>
        <w:snapToGrid w:val="0"/>
        <w:spacing w:line="360" w:lineRule="auto"/>
        <w:rPr>
          <w:rFonts w:ascii="微软雅黑" w:hAnsi="微软雅黑" w:eastAsia="微软雅黑"/>
          <w:color w:val="auto"/>
          <w:sz w:val="30"/>
          <w:szCs w:val="30"/>
        </w:rPr>
      </w:pPr>
    </w:p>
    <w:p>
      <w:pPr>
        <w:snapToGrid w:val="0"/>
        <w:spacing w:line="360" w:lineRule="auto"/>
        <w:ind w:firstLine="600" w:firstLineChars="200"/>
        <w:rPr>
          <w:rFonts w:ascii="微软雅黑" w:hAnsi="微软雅黑" w:eastAsia="微软雅黑"/>
          <w:color w:val="auto"/>
          <w:sz w:val="30"/>
          <w:szCs w:val="30"/>
          <w:u w:val="single"/>
        </w:rPr>
      </w:pPr>
      <w:r>
        <w:rPr>
          <w:rFonts w:ascii="微软雅黑" w:hAnsi="微软雅黑" w:eastAsia="微软雅黑"/>
          <w:color w:val="auto"/>
          <w:sz w:val="30"/>
          <w:szCs w:val="30"/>
        </w:rPr>
        <w:t>赛项名称：</w:t>
      </w:r>
      <w:r>
        <w:rPr>
          <w:rFonts w:hint="eastAsia" w:ascii="微软雅黑" w:hAnsi="微软雅黑" w:eastAsia="微软雅黑"/>
          <w:color w:val="auto"/>
          <w:sz w:val="30"/>
          <w:szCs w:val="30"/>
          <w:u w:val="single"/>
        </w:rPr>
        <w:t xml:space="preserve">                </w:t>
      </w:r>
      <w:r>
        <w:rPr>
          <w:rFonts w:hint="eastAsia" w:ascii="微软雅黑" w:hAnsi="微软雅黑" w:eastAsia="微软雅黑"/>
          <w:color w:val="auto"/>
          <w:sz w:val="30"/>
          <w:szCs w:val="30"/>
          <w:u w:val="single"/>
          <w:lang w:eastAsia="zh-CN"/>
        </w:rPr>
        <w:t>工程</w:t>
      </w:r>
      <w:r>
        <w:rPr>
          <w:rFonts w:hint="eastAsia" w:ascii="微软雅黑" w:hAnsi="微软雅黑" w:eastAsia="微软雅黑"/>
          <w:color w:val="auto"/>
          <w:sz w:val="30"/>
          <w:szCs w:val="30"/>
          <w:u w:val="single"/>
        </w:rPr>
        <w:t xml:space="preserve">测量                     </w:t>
      </w:r>
    </w:p>
    <w:p>
      <w:pPr>
        <w:snapToGrid w:val="0"/>
        <w:spacing w:line="360" w:lineRule="auto"/>
        <w:ind w:firstLine="600" w:firstLineChars="200"/>
        <w:rPr>
          <w:rFonts w:ascii="微软雅黑" w:hAnsi="微软雅黑" w:eastAsia="微软雅黑"/>
          <w:color w:val="auto"/>
          <w:sz w:val="44"/>
          <w:szCs w:val="44"/>
        </w:rPr>
      </w:pPr>
      <w:r>
        <w:rPr>
          <w:rFonts w:ascii="微软雅黑" w:hAnsi="微软雅黑" w:eastAsia="微软雅黑"/>
          <w:color w:val="auto"/>
          <w:sz w:val="30"/>
          <w:szCs w:val="30"/>
        </w:rPr>
        <w:t>赛项组别：</w:t>
      </w:r>
      <w:r>
        <w:rPr>
          <w:rFonts w:hint="eastAsia" w:ascii="微软雅黑" w:hAnsi="微软雅黑" w:eastAsia="微软雅黑"/>
          <w:color w:val="auto"/>
          <w:sz w:val="30"/>
          <w:szCs w:val="30"/>
        </w:rPr>
        <w:t xml:space="preserve">      </w:t>
      </w:r>
      <w:r>
        <w:rPr>
          <w:rFonts w:ascii="微软雅黑" w:hAnsi="微软雅黑" w:eastAsia="微软雅黑"/>
          <w:color w:val="auto"/>
          <w:sz w:val="30"/>
          <w:szCs w:val="30"/>
        </w:rPr>
        <w:t>中职组</w:t>
      </w:r>
      <w:r>
        <w:rPr>
          <w:rFonts w:hint="eastAsia" w:ascii="微软雅黑" w:hAnsi="微软雅黑" w:eastAsia="微软雅黑"/>
          <w:color w:val="auto"/>
          <w:sz w:val="44"/>
          <w:szCs w:val="44"/>
        </w:rPr>
        <w:t xml:space="preserve">■ </w:t>
      </w:r>
      <w:r>
        <w:rPr>
          <w:rFonts w:hint="eastAsia" w:ascii="微软雅黑" w:hAnsi="微软雅黑" w:eastAsia="微软雅黑"/>
          <w:color w:val="auto"/>
          <w:sz w:val="30"/>
          <w:szCs w:val="30"/>
        </w:rPr>
        <w:t xml:space="preserve">      </w:t>
      </w:r>
      <w:r>
        <w:rPr>
          <w:rFonts w:ascii="微软雅黑" w:hAnsi="微软雅黑" w:eastAsia="微软雅黑"/>
          <w:color w:val="auto"/>
          <w:sz w:val="30"/>
          <w:szCs w:val="30"/>
        </w:rPr>
        <w:t>高职组</w:t>
      </w:r>
      <w:r>
        <w:rPr>
          <w:rFonts w:ascii="微软雅黑" w:hAnsi="微软雅黑" w:eastAsia="微软雅黑"/>
          <w:color w:val="auto"/>
          <w:sz w:val="44"/>
          <w:szCs w:val="44"/>
        </w:rPr>
        <w:t>□</w:t>
      </w:r>
    </w:p>
    <w:p>
      <w:pPr>
        <w:snapToGrid w:val="0"/>
        <w:spacing w:line="360" w:lineRule="auto"/>
        <w:ind w:firstLine="600" w:firstLineChars="200"/>
        <w:rPr>
          <w:rFonts w:ascii="微软雅黑" w:hAnsi="微软雅黑" w:eastAsia="微软雅黑"/>
          <w:color w:val="auto"/>
          <w:sz w:val="30"/>
          <w:szCs w:val="30"/>
        </w:rPr>
      </w:pPr>
      <w:r>
        <w:rPr>
          <w:rFonts w:hint="eastAsia" w:ascii="微软雅黑" w:hAnsi="微软雅黑" w:eastAsia="微软雅黑"/>
          <w:color w:val="auto"/>
          <w:sz w:val="30"/>
          <w:szCs w:val="30"/>
        </w:rPr>
        <w:t>专业大类</w:t>
      </w:r>
      <w:r>
        <w:rPr>
          <w:rFonts w:ascii="微软雅黑" w:hAnsi="微软雅黑" w:eastAsia="微软雅黑"/>
          <w:color w:val="auto"/>
          <w:sz w:val="30"/>
          <w:szCs w:val="30"/>
        </w:rPr>
        <w:t>：</w:t>
      </w:r>
      <w:r>
        <w:rPr>
          <w:rFonts w:hint="eastAsia" w:ascii="微软雅黑" w:hAnsi="微软雅黑" w:eastAsia="微软雅黑"/>
          <w:color w:val="auto"/>
          <w:sz w:val="30"/>
          <w:szCs w:val="30"/>
          <w:u w:val="single"/>
        </w:rPr>
        <w:t xml:space="preserve">               土木水利类                       </w:t>
      </w:r>
    </w:p>
    <w:p>
      <w:pPr>
        <w:snapToGrid w:val="0"/>
        <w:spacing w:line="360" w:lineRule="auto"/>
        <w:ind w:firstLine="600"/>
        <w:rPr>
          <w:rFonts w:ascii="微软雅黑" w:hAnsi="微软雅黑" w:eastAsia="微软雅黑"/>
          <w:color w:val="auto"/>
          <w:sz w:val="30"/>
          <w:szCs w:val="30"/>
          <w:u w:val="single"/>
        </w:rPr>
      </w:pPr>
      <w:r>
        <w:rPr>
          <w:rFonts w:hint="eastAsia" w:ascii="微软雅黑" w:hAnsi="微软雅黑" w:eastAsia="微软雅黑"/>
          <w:color w:val="auto"/>
          <w:sz w:val="30"/>
          <w:szCs w:val="30"/>
        </w:rPr>
        <w:t>方案设计专家组组长：</w:t>
      </w:r>
      <w:r>
        <w:rPr>
          <w:rFonts w:hint="eastAsia" w:ascii="微软雅黑" w:hAnsi="微软雅黑" w:eastAsia="微软雅黑"/>
          <w:color w:val="auto"/>
          <w:sz w:val="30"/>
          <w:szCs w:val="30"/>
          <w:u w:val="single"/>
        </w:rPr>
        <w:t xml:space="preserve">     唐根林                     </w:t>
      </w:r>
    </w:p>
    <w:p>
      <w:pPr>
        <w:snapToGrid w:val="0"/>
        <w:spacing w:line="360" w:lineRule="auto"/>
        <w:ind w:firstLine="600"/>
        <w:rPr>
          <w:rFonts w:ascii="微软雅黑" w:hAnsi="微软雅黑" w:eastAsia="微软雅黑"/>
          <w:color w:val="auto"/>
          <w:sz w:val="30"/>
          <w:szCs w:val="30"/>
          <w:u w:val="single"/>
        </w:rPr>
      </w:pPr>
      <w:r>
        <w:rPr>
          <w:rFonts w:hint="eastAsia" w:ascii="微软雅黑" w:hAnsi="微软雅黑" w:eastAsia="微软雅黑"/>
          <w:color w:val="auto"/>
          <w:sz w:val="30"/>
          <w:szCs w:val="30"/>
        </w:rPr>
        <w:t xml:space="preserve">专家组组长手机：    </w:t>
      </w:r>
      <w:r>
        <w:rPr>
          <w:rFonts w:hint="eastAsia" w:ascii="微软雅黑" w:hAnsi="微软雅黑" w:eastAsia="微软雅黑"/>
          <w:color w:val="auto"/>
          <w:sz w:val="30"/>
          <w:szCs w:val="30"/>
          <w:u w:val="single"/>
        </w:rPr>
        <w:t xml:space="preserve">     13601452002               </w:t>
      </w:r>
    </w:p>
    <w:p>
      <w:pPr>
        <w:snapToGrid w:val="0"/>
        <w:spacing w:line="360" w:lineRule="auto"/>
        <w:ind w:firstLine="600"/>
        <w:rPr>
          <w:rFonts w:ascii="微软雅黑" w:hAnsi="微软雅黑" w:eastAsia="微软雅黑"/>
          <w:color w:val="auto"/>
          <w:sz w:val="30"/>
          <w:szCs w:val="30"/>
        </w:rPr>
      </w:pPr>
    </w:p>
    <w:p>
      <w:pPr>
        <w:snapToGrid w:val="0"/>
        <w:spacing w:line="360" w:lineRule="auto"/>
        <w:ind w:firstLine="600" w:firstLineChars="200"/>
        <w:rPr>
          <w:rFonts w:ascii="微软雅黑" w:hAnsi="微软雅黑" w:eastAsia="微软雅黑"/>
          <w:color w:val="auto"/>
          <w:sz w:val="30"/>
          <w:szCs w:val="30"/>
        </w:rPr>
      </w:pPr>
      <w:r>
        <w:rPr>
          <w:rFonts w:hint="eastAsia" w:ascii="微软雅黑" w:hAnsi="微软雅黑" w:eastAsia="微软雅黑"/>
          <w:color w:val="auto"/>
          <w:sz w:val="30"/>
          <w:szCs w:val="30"/>
        </w:rPr>
        <w:t>方案</w:t>
      </w:r>
      <w:r>
        <w:rPr>
          <w:rFonts w:ascii="微软雅黑" w:hAnsi="微软雅黑" w:eastAsia="微软雅黑"/>
          <w:color w:val="auto"/>
          <w:sz w:val="30"/>
          <w:szCs w:val="30"/>
        </w:rPr>
        <w:t>申报单位（盖章）：</w:t>
      </w:r>
      <w:r>
        <w:rPr>
          <w:rFonts w:hint="eastAsia" w:ascii="微软雅黑" w:hAnsi="微软雅黑" w:eastAsia="微软雅黑"/>
          <w:color w:val="auto"/>
          <w:sz w:val="30"/>
          <w:szCs w:val="30"/>
          <w:u w:val="single"/>
        </w:rPr>
        <w:t xml:space="preserve">    中国建设教育协会    </w:t>
      </w:r>
      <w:r>
        <w:rPr>
          <w:rFonts w:hint="eastAsia" w:ascii="微软雅黑" w:hAnsi="微软雅黑" w:eastAsia="微软雅黑"/>
          <w:color w:val="auto"/>
          <w:sz w:val="30"/>
          <w:szCs w:val="30"/>
          <w:u w:val="single"/>
          <w:bdr w:val="single" w:color="auto" w:sz="4" w:space="0"/>
        </w:rPr>
        <w:t xml:space="preserve">         </w:t>
      </w:r>
    </w:p>
    <w:p>
      <w:pPr>
        <w:snapToGrid w:val="0"/>
        <w:spacing w:line="360" w:lineRule="auto"/>
        <w:ind w:firstLine="600" w:firstLineChars="200"/>
        <w:rPr>
          <w:rFonts w:ascii="微软雅黑" w:hAnsi="微软雅黑" w:eastAsia="微软雅黑"/>
          <w:color w:val="auto"/>
          <w:sz w:val="30"/>
          <w:szCs w:val="30"/>
        </w:rPr>
      </w:pPr>
      <w:r>
        <w:rPr>
          <w:rFonts w:ascii="微软雅黑" w:hAnsi="微软雅黑" w:eastAsia="微软雅黑"/>
          <w:color w:val="auto"/>
          <w:sz w:val="30"/>
          <w:szCs w:val="30"/>
        </w:rPr>
        <w:t>方案申报负责人：</w:t>
      </w:r>
      <w:r>
        <w:rPr>
          <w:rFonts w:hint="eastAsia" w:ascii="微软雅黑" w:hAnsi="微软雅黑" w:eastAsia="微软雅黑"/>
          <w:color w:val="auto"/>
          <w:sz w:val="30"/>
          <w:szCs w:val="30"/>
        </w:rPr>
        <w:t xml:space="preserve">     </w:t>
      </w:r>
      <w:r>
        <w:rPr>
          <w:rFonts w:hint="eastAsia" w:ascii="微软雅黑" w:hAnsi="微软雅黑" w:eastAsia="微软雅黑"/>
          <w:color w:val="auto"/>
          <w:sz w:val="30"/>
          <w:szCs w:val="30"/>
          <w:u w:val="single"/>
        </w:rPr>
        <w:t xml:space="preserve">    丁乐                       </w:t>
      </w:r>
    </w:p>
    <w:p>
      <w:pPr>
        <w:snapToGrid w:val="0"/>
        <w:spacing w:line="360" w:lineRule="auto"/>
        <w:ind w:firstLine="600" w:firstLineChars="200"/>
        <w:rPr>
          <w:rFonts w:ascii="微软雅黑" w:hAnsi="微软雅黑" w:eastAsia="微软雅黑"/>
          <w:color w:val="auto"/>
          <w:sz w:val="30"/>
          <w:szCs w:val="30"/>
        </w:rPr>
      </w:pPr>
      <w:r>
        <w:rPr>
          <w:rFonts w:hint="eastAsia" w:ascii="微软雅黑" w:hAnsi="微软雅黑" w:eastAsia="微软雅黑"/>
          <w:color w:val="auto"/>
          <w:sz w:val="30"/>
          <w:szCs w:val="30"/>
        </w:rPr>
        <w:t>联系</w:t>
      </w:r>
      <w:r>
        <w:rPr>
          <w:rFonts w:ascii="微软雅黑" w:hAnsi="微软雅黑" w:eastAsia="微软雅黑"/>
          <w:color w:val="auto"/>
          <w:sz w:val="30"/>
          <w:szCs w:val="30"/>
        </w:rPr>
        <w:t>手机：</w:t>
      </w:r>
      <w:r>
        <w:rPr>
          <w:rFonts w:ascii="微软雅黑" w:hAnsi="微软雅黑" w:eastAsia="微软雅黑"/>
          <w:color w:val="auto"/>
          <w:sz w:val="30"/>
          <w:szCs w:val="30"/>
        </w:rPr>
        <w:tab/>
      </w:r>
      <w:r>
        <w:rPr>
          <w:rFonts w:hint="eastAsia" w:ascii="微软雅黑" w:hAnsi="微软雅黑" w:eastAsia="微软雅黑"/>
          <w:color w:val="auto"/>
          <w:sz w:val="30"/>
          <w:szCs w:val="30"/>
          <w:u w:val="single"/>
        </w:rPr>
        <w:t xml:space="preserve">            13911578826                               </w:t>
      </w:r>
    </w:p>
    <w:p>
      <w:pPr>
        <w:snapToGrid w:val="0"/>
        <w:spacing w:line="360" w:lineRule="auto"/>
        <w:ind w:firstLine="600" w:firstLineChars="200"/>
        <w:rPr>
          <w:rFonts w:ascii="微软雅黑" w:hAnsi="微软雅黑" w:eastAsia="微软雅黑"/>
          <w:color w:val="auto"/>
          <w:sz w:val="30"/>
          <w:szCs w:val="30"/>
          <w:u w:val="single"/>
        </w:rPr>
      </w:pPr>
      <w:r>
        <w:rPr>
          <w:rFonts w:ascii="微软雅黑" w:hAnsi="微软雅黑" w:eastAsia="微软雅黑"/>
          <w:color w:val="auto"/>
          <w:sz w:val="30"/>
          <w:szCs w:val="30"/>
        </w:rPr>
        <w:t>邮</w:t>
      </w:r>
      <w:r>
        <w:rPr>
          <w:rFonts w:hint="eastAsia" w:ascii="微软雅黑" w:hAnsi="微软雅黑" w:eastAsia="微软雅黑"/>
          <w:color w:val="auto"/>
          <w:sz w:val="30"/>
          <w:szCs w:val="30"/>
        </w:rPr>
        <w:t>箱号码</w:t>
      </w:r>
      <w:r>
        <w:rPr>
          <w:rFonts w:ascii="微软雅黑" w:hAnsi="微软雅黑" w:eastAsia="微软雅黑"/>
          <w:color w:val="auto"/>
          <w:sz w:val="30"/>
          <w:szCs w:val="30"/>
        </w:rPr>
        <w:t>：</w:t>
      </w:r>
      <w:r>
        <w:rPr>
          <w:rFonts w:ascii="微软雅黑" w:hAnsi="微软雅黑" w:eastAsia="微软雅黑"/>
          <w:color w:val="auto"/>
          <w:sz w:val="30"/>
          <w:szCs w:val="30"/>
        </w:rPr>
        <w:tab/>
      </w:r>
      <w:r>
        <w:rPr>
          <w:rFonts w:hint="eastAsia" w:ascii="微软雅黑" w:hAnsi="微软雅黑" w:eastAsia="微软雅黑"/>
          <w:color w:val="auto"/>
          <w:sz w:val="30"/>
          <w:szCs w:val="30"/>
          <w:u w:val="single"/>
        </w:rPr>
        <w:t xml:space="preserve">            ccden@263.net                             </w:t>
      </w:r>
    </w:p>
    <w:p>
      <w:pPr>
        <w:snapToGrid w:val="0"/>
        <w:spacing w:line="360" w:lineRule="auto"/>
        <w:ind w:firstLine="600" w:firstLineChars="200"/>
        <w:rPr>
          <w:rFonts w:ascii="微软雅黑" w:hAnsi="微软雅黑" w:eastAsia="微软雅黑"/>
          <w:color w:val="auto"/>
          <w:sz w:val="30"/>
          <w:szCs w:val="30"/>
          <w:u w:val="single"/>
        </w:rPr>
      </w:pPr>
      <w:r>
        <w:rPr>
          <w:rFonts w:ascii="微软雅黑" w:hAnsi="微软雅黑" w:eastAsia="微软雅黑"/>
          <w:color w:val="auto"/>
          <w:sz w:val="30"/>
          <w:szCs w:val="30"/>
        </w:rPr>
        <w:t>通讯地址：</w:t>
      </w:r>
      <w:r>
        <w:rPr>
          <w:rFonts w:hint="eastAsia" w:ascii="微软雅黑" w:hAnsi="微软雅黑" w:eastAsia="微软雅黑"/>
          <w:color w:val="auto"/>
          <w:sz w:val="30"/>
          <w:szCs w:val="30"/>
        </w:rPr>
        <w:t xml:space="preserve"> </w:t>
      </w:r>
      <w:r>
        <w:rPr>
          <w:rFonts w:hint="eastAsia" w:ascii="微软雅黑" w:hAnsi="微软雅黑" w:eastAsia="微软雅黑"/>
          <w:color w:val="auto"/>
          <w:sz w:val="30"/>
          <w:szCs w:val="30"/>
          <w:u w:val="single"/>
        </w:rPr>
        <w:t xml:space="preserve">北京市海淀区三里河路九号北配楼北楼418室                               </w:t>
      </w:r>
    </w:p>
    <w:p>
      <w:pPr>
        <w:snapToGrid w:val="0"/>
        <w:spacing w:line="360" w:lineRule="auto"/>
        <w:ind w:firstLine="600" w:firstLineChars="200"/>
        <w:rPr>
          <w:rFonts w:ascii="微软雅黑" w:hAnsi="微软雅黑" w:eastAsia="微软雅黑"/>
          <w:color w:val="auto"/>
          <w:sz w:val="30"/>
          <w:szCs w:val="30"/>
        </w:rPr>
      </w:pPr>
      <w:r>
        <w:rPr>
          <w:rFonts w:ascii="微软雅黑" w:hAnsi="微软雅黑" w:eastAsia="微软雅黑"/>
          <w:color w:val="auto"/>
          <w:sz w:val="30"/>
          <w:szCs w:val="30"/>
        </w:rPr>
        <w:t>邮政编码：</w:t>
      </w:r>
      <w:r>
        <w:rPr>
          <w:rFonts w:hint="eastAsia" w:ascii="微软雅黑" w:hAnsi="微软雅黑" w:eastAsia="微软雅黑"/>
          <w:color w:val="auto"/>
          <w:sz w:val="30"/>
          <w:szCs w:val="30"/>
        </w:rPr>
        <w:t xml:space="preserve">   </w:t>
      </w:r>
      <w:r>
        <w:rPr>
          <w:rFonts w:hint="eastAsia" w:ascii="微软雅黑" w:hAnsi="微软雅黑" w:eastAsia="微软雅黑"/>
          <w:color w:val="auto"/>
          <w:sz w:val="30"/>
          <w:szCs w:val="30"/>
          <w:u w:val="single"/>
        </w:rPr>
        <w:t xml:space="preserve">            100835                              </w:t>
      </w:r>
    </w:p>
    <w:p>
      <w:pPr>
        <w:snapToGrid w:val="0"/>
        <w:spacing w:line="360" w:lineRule="auto"/>
        <w:ind w:firstLine="600" w:firstLineChars="200"/>
        <w:rPr>
          <w:rFonts w:ascii="微软雅黑" w:hAnsi="微软雅黑" w:eastAsia="微软雅黑"/>
          <w:color w:val="auto"/>
          <w:sz w:val="30"/>
          <w:szCs w:val="30"/>
        </w:rPr>
      </w:pPr>
      <w:r>
        <w:rPr>
          <w:rFonts w:ascii="微软雅黑" w:hAnsi="微软雅黑" w:eastAsia="微软雅黑"/>
          <w:color w:val="auto"/>
          <w:sz w:val="30"/>
          <w:szCs w:val="30"/>
        </w:rPr>
        <w:t>申报日期：</w:t>
      </w:r>
      <w:r>
        <w:rPr>
          <w:rFonts w:hint="eastAsia" w:ascii="微软雅黑" w:hAnsi="微软雅黑" w:eastAsia="微软雅黑"/>
          <w:color w:val="auto"/>
          <w:sz w:val="30"/>
          <w:szCs w:val="30"/>
        </w:rPr>
        <w:t xml:space="preserve">   </w:t>
      </w:r>
      <w:r>
        <w:rPr>
          <w:rFonts w:hint="eastAsia" w:ascii="微软雅黑" w:hAnsi="微软雅黑" w:eastAsia="微软雅黑"/>
          <w:color w:val="auto"/>
          <w:sz w:val="30"/>
          <w:szCs w:val="30"/>
          <w:u w:val="single"/>
        </w:rPr>
        <w:t xml:space="preserve">            2015年8月                              </w:t>
      </w:r>
    </w:p>
    <w:p>
      <w:pPr>
        <w:rPr>
          <w:rFonts w:ascii="Arial Narrow" w:hAnsi="Arial Narrow" w:eastAsia="仿宋_GB2312" w:cs="Arial"/>
          <w:color w:val="auto"/>
          <w:sz w:val="30"/>
          <w:szCs w:val="30"/>
        </w:rPr>
      </w:pPr>
    </w:p>
    <w:p>
      <w:pPr>
        <w:rPr>
          <w:rFonts w:ascii="Arial Narrow" w:hAnsi="Arial Narrow" w:eastAsia="仿宋_GB2312" w:cs="Arial"/>
          <w:color w:val="auto"/>
          <w:sz w:val="30"/>
          <w:szCs w:val="30"/>
        </w:rPr>
      </w:pPr>
    </w:p>
    <w:p>
      <w:pPr>
        <w:snapToGrid w:val="0"/>
        <w:spacing w:line="540" w:lineRule="exact"/>
        <w:jc w:val="center"/>
        <w:rPr>
          <w:rFonts w:ascii="Arial Narrow" w:hAnsi="Arial Narrow" w:eastAsia="黑体"/>
          <w:b/>
          <w:color w:val="auto"/>
          <w:sz w:val="36"/>
          <w:szCs w:val="36"/>
        </w:rPr>
      </w:pPr>
      <w:r>
        <w:rPr>
          <w:rFonts w:ascii="Arial Narrow" w:hAnsi="Arial Narrow" w:eastAsia="黑体"/>
          <w:b/>
          <w:color w:val="auto"/>
          <w:sz w:val="36"/>
          <w:szCs w:val="36"/>
        </w:rPr>
        <w:t>201</w:t>
      </w:r>
      <w:r>
        <w:rPr>
          <w:rFonts w:hint="eastAsia" w:ascii="Arial Narrow" w:hAnsi="Arial Narrow" w:eastAsia="黑体"/>
          <w:b/>
          <w:color w:val="auto"/>
          <w:sz w:val="36"/>
          <w:szCs w:val="36"/>
        </w:rPr>
        <w:t>6</w:t>
      </w:r>
      <w:r>
        <w:rPr>
          <w:rFonts w:ascii="Arial Narrow" w:hAnsi="黑体" w:eastAsia="黑体"/>
          <w:b/>
          <w:color w:val="auto"/>
          <w:sz w:val="36"/>
          <w:szCs w:val="36"/>
        </w:rPr>
        <w:t>年全国职业院校技能大赛</w:t>
      </w:r>
    </w:p>
    <w:p>
      <w:pPr>
        <w:snapToGrid w:val="0"/>
        <w:spacing w:line="540" w:lineRule="exact"/>
        <w:jc w:val="center"/>
        <w:rPr>
          <w:rFonts w:ascii="Arial Narrow" w:hAnsi="Arial Narrow" w:eastAsia="黑体"/>
          <w:b/>
          <w:color w:val="auto"/>
          <w:sz w:val="36"/>
          <w:szCs w:val="36"/>
        </w:rPr>
      </w:pPr>
      <w:r>
        <w:rPr>
          <w:rFonts w:ascii="Arial Narrow" w:hAnsi="黑体" w:eastAsia="黑体"/>
          <w:b/>
          <w:color w:val="auto"/>
          <w:sz w:val="36"/>
          <w:szCs w:val="36"/>
        </w:rPr>
        <w:t>竞赛项目方案</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一、赛项名称</w:t>
      </w:r>
    </w:p>
    <w:p>
      <w:pPr>
        <w:snapToGrid w:val="0"/>
        <w:spacing w:line="560" w:lineRule="exact"/>
        <w:ind w:firstLine="600" w:firstLineChars="200"/>
        <w:rPr>
          <w:rFonts w:ascii="Arial Narrow" w:hAnsi="Arial Narrow" w:eastAsia="仿宋_GB2312" w:cs="Arial"/>
          <w:color w:val="auto"/>
          <w:sz w:val="30"/>
          <w:szCs w:val="30"/>
        </w:rPr>
      </w:pPr>
      <w:r>
        <w:rPr>
          <w:rFonts w:ascii="Arial Narrow" w:hAnsi="Arial Narrow" w:eastAsia="仿宋_GB2312" w:cs="Arial"/>
          <w:color w:val="auto"/>
          <w:sz w:val="30"/>
          <w:szCs w:val="30"/>
        </w:rPr>
        <w:t>（一）赛项名称</w:t>
      </w:r>
    </w:p>
    <w:p>
      <w:pPr>
        <w:snapToGrid w:val="0"/>
        <w:spacing w:line="560" w:lineRule="exact"/>
        <w:ind w:left="1440"/>
        <w:rPr>
          <w:rFonts w:ascii="Arial Narrow" w:hAnsi="Arial Narrow" w:eastAsia="仿宋_GB2312" w:cs="Arial"/>
          <w:color w:val="auto"/>
          <w:sz w:val="30"/>
          <w:szCs w:val="30"/>
        </w:rPr>
      </w:pPr>
      <w:r>
        <w:rPr>
          <w:rFonts w:hint="eastAsia" w:ascii="Arial Narrow" w:hAnsi="Arial Narrow" w:eastAsia="仿宋_GB2312" w:cs="Arial"/>
          <w:color w:val="auto"/>
          <w:sz w:val="30"/>
          <w:szCs w:val="30"/>
        </w:rPr>
        <w:t>工程测量</w:t>
      </w:r>
    </w:p>
    <w:p>
      <w:pPr>
        <w:snapToGrid w:val="0"/>
        <w:spacing w:line="560" w:lineRule="exact"/>
        <w:ind w:firstLine="600" w:firstLineChars="200"/>
        <w:rPr>
          <w:rFonts w:ascii="Arial Narrow" w:hAnsi="Arial Narrow" w:eastAsia="仿宋_GB2312" w:cs="Arial"/>
          <w:color w:val="auto"/>
          <w:sz w:val="30"/>
          <w:szCs w:val="30"/>
        </w:rPr>
      </w:pPr>
      <w:r>
        <w:rPr>
          <w:rFonts w:ascii="Arial Narrow" w:hAnsi="Arial Narrow" w:eastAsia="仿宋_GB2312" w:cs="Arial"/>
          <w:color w:val="auto"/>
          <w:sz w:val="30"/>
          <w:szCs w:val="30"/>
        </w:rPr>
        <w:t>（二）压题彩照</w:t>
      </w:r>
    </w:p>
    <w:p>
      <w:pPr>
        <w:snapToGrid w:val="0"/>
        <w:spacing w:line="560" w:lineRule="exact"/>
        <w:ind w:firstLine="600" w:firstLineChars="200"/>
        <w:rPr>
          <w:rFonts w:ascii="Arial Narrow" w:hAnsi="Arial Narrow" w:eastAsia="仿宋_GB2312" w:cs="Arial"/>
          <w:color w:val="auto"/>
          <w:sz w:val="30"/>
          <w:szCs w:val="30"/>
        </w:rPr>
      </w:pPr>
      <w:r>
        <w:rPr>
          <w:rFonts w:hint="eastAsia" w:ascii="Arial Narrow" w:hAnsi="Arial Narrow" w:eastAsia="仿宋_GB2312" w:cs="Arial"/>
          <w:color w:val="auto"/>
          <w:kern w:val="2"/>
          <w:sz w:val="30"/>
          <w:szCs w:val="30"/>
          <w:lang w:val="en-US" w:eastAsia="zh-CN" w:bidi="ar-SA"/>
        </w:rPr>
        <w:pict>
          <v:shape id="Picture 1" o:spid="_x0000_s1026" type="#_x0000_t75" style="position:absolute;left:0;margin-left:35.25pt;margin-top:7.55pt;height:267.75pt;width:355.5pt;mso-wrap-distance-bottom:0pt;mso-wrap-distance-top:0pt;rotation:0f;z-index:251658240;" o:ole="f" fillcolor="#FFFFFF" filled="f" o:preferrelative="t" stroked="f" coordorigin="0,0" coordsize="21600,21600">
            <v:fill on="f" color2="#FFFFFF" focus="0%"/>
            <v:imagedata gain="65536f" blacklevel="0f" gamma="0" o:title="" r:id="rId6"/>
            <o:lock v:ext="edit" position="f" selection="f" grouping="f" rotation="f" cropping="f" text="f" aspectratio="t"/>
            <w10:wrap type="topAndBottom"/>
          </v:shape>
        </w:pict>
      </w:r>
    </w:p>
    <w:p>
      <w:pPr>
        <w:snapToGrid w:val="0"/>
        <w:spacing w:line="560" w:lineRule="exact"/>
        <w:ind w:firstLine="600" w:firstLineChars="200"/>
        <w:rPr>
          <w:rFonts w:ascii="Arial Narrow" w:hAnsi="Arial Narrow" w:eastAsia="仿宋_GB2312" w:cs="Arial"/>
          <w:color w:val="auto"/>
          <w:sz w:val="30"/>
          <w:szCs w:val="30"/>
        </w:rPr>
      </w:pPr>
      <w:r>
        <w:rPr>
          <w:rFonts w:ascii="Arial Narrow" w:hAnsi="Arial Narrow" w:eastAsia="仿宋_GB2312" w:cs="Arial"/>
          <w:color w:val="auto"/>
          <w:sz w:val="30"/>
          <w:szCs w:val="30"/>
        </w:rPr>
        <w:t>（三）赛项归属产业类型</w:t>
      </w:r>
    </w:p>
    <w:p>
      <w:pPr>
        <w:pStyle w:val="8"/>
        <w:adjustRightInd w:val="0"/>
        <w:snapToGrid w:val="0"/>
        <w:spacing w:line="360" w:lineRule="auto"/>
        <w:ind w:left="1063" w:firstLine="197" w:firstLineChars="0"/>
        <w:rPr>
          <w:rFonts w:ascii="仿宋_GB2312" w:hAnsi="华文中宋" w:eastAsia="仿宋_GB2312"/>
          <w:color w:val="auto"/>
          <w:sz w:val="32"/>
          <w:szCs w:val="32"/>
        </w:rPr>
      </w:pPr>
      <w:r>
        <w:rPr>
          <w:rFonts w:hint="eastAsia" w:ascii="仿宋_GB2312" w:hAnsi="华文中宋" w:eastAsia="仿宋_GB2312"/>
          <w:color w:val="auto"/>
          <w:sz w:val="32"/>
          <w:szCs w:val="32"/>
        </w:rPr>
        <w:t xml:space="preserve">  建筑业</w:t>
      </w:r>
    </w:p>
    <w:p>
      <w:pPr>
        <w:snapToGrid w:val="0"/>
        <w:spacing w:line="560" w:lineRule="exact"/>
        <w:ind w:firstLine="600" w:firstLineChars="200"/>
        <w:rPr>
          <w:rFonts w:ascii="Arial Narrow" w:hAnsi="Arial Narrow" w:eastAsia="仿宋_GB2312" w:cs="Arial"/>
          <w:color w:val="auto"/>
          <w:sz w:val="30"/>
          <w:szCs w:val="30"/>
        </w:rPr>
      </w:pPr>
      <w:r>
        <w:rPr>
          <w:rFonts w:ascii="Arial Narrow" w:hAnsi="Arial Narrow" w:eastAsia="仿宋_GB2312" w:cs="Arial"/>
          <w:color w:val="auto"/>
          <w:sz w:val="30"/>
          <w:szCs w:val="30"/>
        </w:rPr>
        <w:t>（四）赛项归属专业大类</w:t>
      </w:r>
    </w:p>
    <w:p>
      <w:pPr>
        <w:snapToGrid w:val="0"/>
        <w:spacing w:line="560" w:lineRule="exact"/>
        <w:ind w:firstLine="600" w:firstLineChars="200"/>
        <w:rPr>
          <w:rFonts w:ascii="Arial Narrow" w:hAnsi="Arial Narrow" w:eastAsia="仿宋_GB2312" w:cs="Arial"/>
          <w:b/>
          <w:color w:val="auto"/>
          <w:sz w:val="30"/>
          <w:szCs w:val="30"/>
        </w:rPr>
      </w:pPr>
      <w:r>
        <w:rPr>
          <w:rFonts w:hint="eastAsia" w:ascii="Arial Narrow" w:hAnsi="Arial Narrow" w:eastAsia="仿宋_GB2312" w:cs="Arial"/>
          <w:b/>
          <w:color w:val="auto"/>
          <w:sz w:val="30"/>
          <w:szCs w:val="30"/>
        </w:rPr>
        <w:tab/>
      </w:r>
      <w:r>
        <w:rPr>
          <w:rFonts w:hint="eastAsia" w:ascii="Arial Narrow" w:hAnsi="Arial Narrow" w:eastAsia="仿宋_GB2312" w:cs="Arial"/>
          <w:b/>
          <w:color w:val="auto"/>
          <w:sz w:val="30"/>
          <w:szCs w:val="30"/>
        </w:rPr>
        <w:tab/>
      </w:r>
      <w:r>
        <w:rPr>
          <w:rFonts w:hint="eastAsia" w:ascii="Arial Narrow" w:hAnsi="Arial Narrow" w:eastAsia="仿宋_GB2312" w:cs="Arial"/>
          <w:b/>
          <w:color w:val="auto"/>
          <w:sz w:val="30"/>
          <w:szCs w:val="30"/>
        </w:rPr>
        <w:t xml:space="preserve">  </w:t>
      </w:r>
      <w:r>
        <w:rPr>
          <w:rFonts w:hint="eastAsia" w:ascii="仿宋_GB2312" w:hAnsi="华文中宋" w:eastAsia="仿宋_GB2312"/>
          <w:color w:val="auto"/>
          <w:sz w:val="32"/>
          <w:szCs w:val="32"/>
        </w:rPr>
        <w:t>土木水利类工程测量专业（041600）</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二、赛项申报专家组</w:t>
      </w:r>
    </w:p>
    <w:tbl>
      <w:tblPr>
        <w:tblStyle w:val="7"/>
        <w:tblW w:w="9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877"/>
        <w:gridCol w:w="1596"/>
        <w:gridCol w:w="929"/>
        <w:gridCol w:w="1716"/>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bottom"/>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姓名</w:t>
            </w:r>
          </w:p>
        </w:tc>
        <w:tc>
          <w:tcPr>
            <w:tcW w:w="1701" w:type="dxa"/>
            <w:vAlign w:val="center"/>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单位</w:t>
            </w:r>
          </w:p>
        </w:tc>
        <w:tc>
          <w:tcPr>
            <w:tcW w:w="877" w:type="dxa"/>
            <w:vAlign w:val="center"/>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专业</w:t>
            </w:r>
          </w:p>
        </w:tc>
        <w:tc>
          <w:tcPr>
            <w:tcW w:w="1596" w:type="dxa"/>
            <w:vAlign w:val="center"/>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职务/职称</w:t>
            </w:r>
          </w:p>
        </w:tc>
        <w:tc>
          <w:tcPr>
            <w:tcW w:w="929" w:type="dxa"/>
            <w:vAlign w:val="center"/>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年龄</w:t>
            </w:r>
          </w:p>
        </w:tc>
        <w:tc>
          <w:tcPr>
            <w:tcW w:w="1716" w:type="dxa"/>
            <w:vAlign w:val="center"/>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手机号码</w:t>
            </w:r>
          </w:p>
        </w:tc>
        <w:tc>
          <w:tcPr>
            <w:tcW w:w="1440" w:type="dxa"/>
            <w:vAlign w:val="center"/>
          </w:tcPr>
          <w:p>
            <w:pPr>
              <w:jc w:val="center"/>
              <w:rPr>
                <w:rFonts w:ascii="仿宋_GB2312" w:hAnsi="仿宋" w:eastAsia="仿宋_GB2312" w:cs="Arial"/>
                <w:b/>
                <w:color w:val="auto"/>
                <w:sz w:val="24"/>
                <w:szCs w:val="24"/>
              </w:rPr>
            </w:pPr>
            <w:r>
              <w:rPr>
                <w:rFonts w:ascii="仿宋_GB2312" w:hAnsi="仿宋" w:eastAsia="仿宋_GB2312" w:cs="Arial"/>
                <w:b/>
                <w:color w:val="auto"/>
                <w:sz w:val="24"/>
                <w:szCs w:val="24"/>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extDirection w:val="lrTb"/>
            <w:vAlign w:val="top"/>
          </w:tcPr>
          <w:p>
            <w:pPr>
              <w:adjustRightInd w:val="0"/>
              <w:snapToGrid w:val="0"/>
              <w:jc w:val="left"/>
              <w:rPr>
                <w:rFonts w:ascii="仿宋GB2312" w:hAnsi="仿宋" w:eastAsia="仿宋GB2312" w:cs="宋体"/>
                <w:color w:val="auto"/>
                <w:sz w:val="24"/>
                <w:szCs w:val="24"/>
              </w:rPr>
            </w:pPr>
            <w:r>
              <w:rPr>
                <w:rFonts w:hint="eastAsia" w:ascii="仿宋GB2312" w:hAnsi="仿宋" w:eastAsia="仿宋GB2312"/>
                <w:sz w:val="24"/>
                <w:szCs w:val="24"/>
                <w:highlight w:val="none"/>
              </w:rPr>
              <w:t>唐根林</w:t>
            </w:r>
          </w:p>
        </w:tc>
        <w:tc>
          <w:tcPr>
            <w:tcW w:w="1701" w:type="dxa"/>
            <w:textDirection w:val="lrTb"/>
            <w:vAlign w:val="top"/>
          </w:tcPr>
          <w:p>
            <w:pPr>
              <w:adjustRightInd w:val="0"/>
              <w:snapToGrid w:val="0"/>
              <w:rPr>
                <w:rFonts w:ascii="仿宋GB2312" w:hAnsi="仿宋" w:eastAsia="仿宋GB2312" w:cs="宋体"/>
                <w:color w:val="auto"/>
                <w:sz w:val="24"/>
                <w:szCs w:val="24"/>
              </w:rPr>
            </w:pPr>
            <w:r>
              <w:rPr>
                <w:rFonts w:hint="eastAsia" w:ascii="仿宋GB2312" w:hAnsi="仿宋" w:eastAsia="仿宋GB2312"/>
                <w:sz w:val="24"/>
                <w:szCs w:val="24"/>
                <w:highlight w:val="none"/>
              </w:rPr>
              <w:t>江苏省测绘资料档案馆馆长</w:t>
            </w:r>
          </w:p>
        </w:tc>
        <w:tc>
          <w:tcPr>
            <w:tcW w:w="877" w:type="dxa"/>
            <w:textDirection w:val="lrTb"/>
            <w:vAlign w:val="top"/>
          </w:tcPr>
          <w:p>
            <w:pPr>
              <w:adjustRightInd w:val="0"/>
              <w:snapToGrid w:val="0"/>
              <w:rPr>
                <w:rFonts w:ascii="仿宋GB2312" w:hAnsi="仿宋" w:eastAsia="仿宋GB2312" w:cs="宋体"/>
                <w:color w:val="auto"/>
                <w:sz w:val="24"/>
                <w:szCs w:val="24"/>
                <w:highlight w:val="yellow"/>
              </w:rPr>
            </w:pPr>
          </w:p>
        </w:tc>
        <w:tc>
          <w:tcPr>
            <w:tcW w:w="1596" w:type="dxa"/>
            <w:textDirection w:val="lrTb"/>
            <w:vAlign w:val="top"/>
          </w:tcPr>
          <w:p>
            <w:pPr>
              <w:adjustRightInd w:val="0"/>
              <w:snapToGrid w:val="0"/>
              <w:rPr>
                <w:rFonts w:ascii="仿宋GB2312" w:hAnsi="仿宋" w:eastAsia="仿宋GB2312" w:cs="宋体"/>
                <w:color w:val="auto"/>
                <w:sz w:val="24"/>
                <w:szCs w:val="24"/>
                <w:highlight w:val="yellow"/>
              </w:rPr>
            </w:pPr>
            <w:r>
              <w:rPr>
                <w:rFonts w:hint="eastAsia" w:ascii="仿宋GB2312" w:hAnsi="仿宋" w:eastAsia="仿宋GB2312"/>
                <w:sz w:val="24"/>
                <w:szCs w:val="24"/>
                <w:highlight w:val="none"/>
              </w:rPr>
              <w:t>高级工程师</w:t>
            </w:r>
          </w:p>
        </w:tc>
        <w:tc>
          <w:tcPr>
            <w:tcW w:w="929" w:type="dxa"/>
            <w:textDirection w:val="lrTb"/>
            <w:vAlign w:val="top"/>
          </w:tcPr>
          <w:p>
            <w:pPr>
              <w:adjustRightInd w:val="0"/>
              <w:snapToGrid w:val="0"/>
              <w:rPr>
                <w:rFonts w:ascii="仿宋GB2312" w:hAnsi="仿宋" w:eastAsia="仿宋GB2312" w:cs="宋体"/>
                <w:color w:val="auto"/>
                <w:sz w:val="24"/>
                <w:szCs w:val="24"/>
              </w:rPr>
            </w:pPr>
          </w:p>
        </w:tc>
        <w:tc>
          <w:tcPr>
            <w:tcW w:w="1716" w:type="dxa"/>
            <w:textDirection w:val="lrTb"/>
            <w:vAlign w:val="top"/>
          </w:tcPr>
          <w:p>
            <w:pPr>
              <w:tabs>
                <w:tab w:val="left" w:pos="555"/>
              </w:tabs>
              <w:adjustRightInd w:val="0"/>
              <w:snapToGrid w:val="0"/>
              <w:rPr>
                <w:rFonts w:ascii="仿宋GB2312" w:hAnsi="仿宋" w:eastAsia="仿宋GB2312" w:cs="宋体"/>
                <w:color w:val="auto"/>
                <w:sz w:val="24"/>
                <w:szCs w:val="24"/>
              </w:rPr>
            </w:pPr>
            <w:r>
              <w:rPr>
                <w:rFonts w:hint="eastAsia"/>
                <w:highlight w:val="none"/>
              </w:rPr>
              <w:t>13601452002</w:t>
            </w:r>
          </w:p>
        </w:tc>
        <w:tc>
          <w:tcPr>
            <w:tcW w:w="1440" w:type="dxa"/>
            <w:textDirection w:val="lrTb"/>
            <w:vAlign w:val="top"/>
          </w:tcPr>
          <w:p>
            <w:pPr>
              <w:adjustRightInd w:val="0"/>
              <w:snapToGrid w:val="0"/>
              <w:rPr>
                <w:rFonts w:hint="eastAsia"/>
                <w:highlight w:val="none"/>
              </w:rPr>
            </w:pPr>
            <w:r>
              <w:rPr>
                <w:rFonts w:hint="eastAsia"/>
                <w:highlight w:val="none"/>
              </w:rPr>
              <w:t>Tanggl@jschj.gov.cn</w:t>
            </w:r>
          </w:p>
          <w:p>
            <w:pPr>
              <w:adjustRightInd w:val="0"/>
              <w:snapToGrid w:val="0"/>
              <w:rPr>
                <w:rFonts w:ascii="仿宋GB2312" w:hAnsi="仿宋" w:eastAsia="仿宋GB2312"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extDirection w:val="lrTb"/>
            <w:vAlign w:val="top"/>
          </w:tcPr>
          <w:p>
            <w:pPr>
              <w:adjustRightInd w:val="0"/>
              <w:snapToGrid w:val="0"/>
              <w:jc w:val="left"/>
              <w:rPr>
                <w:rFonts w:ascii="仿宋GB2312" w:hAnsi="仿宋" w:eastAsia="仿宋GB2312" w:cs="宋体"/>
                <w:color w:val="auto"/>
                <w:sz w:val="24"/>
                <w:szCs w:val="24"/>
              </w:rPr>
            </w:pPr>
            <w:r>
              <w:rPr>
                <w:rFonts w:hint="eastAsia" w:ascii="仿宋GB2312" w:hAnsi="仿宋" w:eastAsia="仿宋GB2312"/>
                <w:sz w:val="24"/>
                <w:szCs w:val="24"/>
                <w:highlight w:val="none"/>
              </w:rPr>
              <w:t>柏小海</w:t>
            </w:r>
          </w:p>
        </w:tc>
        <w:tc>
          <w:tcPr>
            <w:tcW w:w="1701" w:type="dxa"/>
            <w:textDirection w:val="lrTb"/>
            <w:vAlign w:val="top"/>
          </w:tcPr>
          <w:p>
            <w:pPr>
              <w:adjustRightInd w:val="0"/>
              <w:snapToGrid w:val="0"/>
              <w:rPr>
                <w:rFonts w:ascii="仿宋GB2312" w:hAnsi="仿宋" w:eastAsia="仿宋GB2312" w:cs="宋体"/>
                <w:color w:val="auto"/>
                <w:sz w:val="24"/>
                <w:szCs w:val="24"/>
              </w:rPr>
            </w:pPr>
            <w:r>
              <w:rPr>
                <w:rFonts w:hint="eastAsia" w:ascii="仿宋GB2312" w:hAnsi="仿宋" w:eastAsia="仿宋GB2312"/>
                <w:sz w:val="24"/>
                <w:szCs w:val="24"/>
                <w:highlight w:val="none"/>
              </w:rPr>
              <w:t>苏州一光仪器有限公司</w:t>
            </w:r>
          </w:p>
        </w:tc>
        <w:tc>
          <w:tcPr>
            <w:tcW w:w="877" w:type="dxa"/>
            <w:textDirection w:val="lrTb"/>
            <w:vAlign w:val="top"/>
          </w:tcPr>
          <w:p>
            <w:pPr>
              <w:adjustRightInd w:val="0"/>
              <w:snapToGrid w:val="0"/>
              <w:rPr>
                <w:rFonts w:ascii="仿宋GB2312" w:hAnsi="仿宋" w:eastAsia="仿宋GB2312" w:cs="宋体"/>
                <w:color w:val="auto"/>
                <w:sz w:val="24"/>
                <w:szCs w:val="24"/>
                <w:highlight w:val="yellow"/>
              </w:rPr>
            </w:pPr>
          </w:p>
        </w:tc>
        <w:tc>
          <w:tcPr>
            <w:tcW w:w="1596" w:type="dxa"/>
            <w:textDirection w:val="lrTb"/>
            <w:vAlign w:val="top"/>
          </w:tcPr>
          <w:p>
            <w:pPr>
              <w:adjustRightInd w:val="0"/>
              <w:snapToGrid w:val="0"/>
              <w:rPr>
                <w:rFonts w:ascii="仿宋GB2312" w:hAnsi="仿宋" w:eastAsia="仿宋GB2312" w:cs="宋体"/>
                <w:color w:val="auto"/>
                <w:sz w:val="24"/>
                <w:szCs w:val="24"/>
                <w:highlight w:val="yellow"/>
              </w:rPr>
            </w:pPr>
            <w:r>
              <w:rPr>
                <w:rFonts w:hint="eastAsia" w:ascii="仿宋GB2312" w:hAnsi="仿宋" w:eastAsia="仿宋GB2312"/>
                <w:sz w:val="24"/>
                <w:szCs w:val="24"/>
                <w:highlight w:val="none"/>
              </w:rPr>
              <w:t>副总经理</w:t>
            </w:r>
          </w:p>
        </w:tc>
        <w:tc>
          <w:tcPr>
            <w:tcW w:w="929" w:type="dxa"/>
            <w:textDirection w:val="lrTb"/>
            <w:vAlign w:val="top"/>
          </w:tcPr>
          <w:p>
            <w:pPr>
              <w:adjustRightInd w:val="0"/>
              <w:snapToGrid w:val="0"/>
              <w:rPr>
                <w:rFonts w:ascii="仿宋GB2312" w:hAnsi="仿宋" w:eastAsia="仿宋GB2312" w:cs="宋体"/>
                <w:color w:val="auto"/>
                <w:sz w:val="24"/>
                <w:szCs w:val="24"/>
              </w:rPr>
            </w:pPr>
          </w:p>
        </w:tc>
        <w:tc>
          <w:tcPr>
            <w:tcW w:w="1716" w:type="dxa"/>
            <w:textDirection w:val="lrTb"/>
            <w:vAlign w:val="top"/>
          </w:tcPr>
          <w:p>
            <w:pPr>
              <w:adjustRightInd w:val="0"/>
              <w:snapToGrid w:val="0"/>
              <w:rPr>
                <w:rFonts w:ascii="仿宋GB2312" w:hAnsi="仿宋" w:eastAsia="仿宋GB2312" w:cs="宋体"/>
                <w:color w:val="auto"/>
                <w:sz w:val="24"/>
                <w:szCs w:val="24"/>
              </w:rPr>
            </w:pPr>
            <w:r>
              <w:rPr>
                <w:rFonts w:hint="eastAsia" w:ascii="仿宋GB2312" w:hAnsi="仿宋" w:eastAsia="仿宋GB2312"/>
                <w:sz w:val="24"/>
                <w:szCs w:val="24"/>
                <w:highlight w:val="none"/>
              </w:rPr>
              <w:t>13506136093</w:t>
            </w:r>
          </w:p>
        </w:tc>
        <w:tc>
          <w:tcPr>
            <w:tcW w:w="1440" w:type="dxa"/>
            <w:textDirection w:val="lrTb"/>
            <w:vAlign w:val="top"/>
          </w:tcPr>
          <w:p>
            <w:pPr>
              <w:adjustRightInd w:val="0"/>
              <w:snapToGrid w:val="0"/>
              <w:rPr>
                <w:rFonts w:ascii="仿宋GB2312" w:hAnsi="仿宋" w:eastAsia="仿宋GB2312"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extDirection w:val="lrTb"/>
            <w:vAlign w:val="top"/>
          </w:tcPr>
          <w:p>
            <w:pPr>
              <w:adjustRightInd w:val="0"/>
              <w:snapToGrid w:val="0"/>
              <w:jc w:val="left"/>
              <w:rPr>
                <w:rFonts w:ascii="仿宋GB2312" w:hAnsi="仿宋" w:eastAsia="仿宋GB2312" w:cs="宋体"/>
                <w:color w:val="auto"/>
                <w:sz w:val="24"/>
                <w:szCs w:val="24"/>
              </w:rPr>
            </w:pPr>
            <w:r>
              <w:rPr>
                <w:rFonts w:hint="eastAsia" w:ascii="仿宋GB2312" w:hAnsi="仿宋" w:eastAsia="仿宋GB2312" w:cs="宋体"/>
                <w:sz w:val="24"/>
                <w:szCs w:val="24"/>
                <w:highlight w:val="none"/>
              </w:rPr>
              <w:t>米延华</w:t>
            </w:r>
          </w:p>
        </w:tc>
        <w:tc>
          <w:tcPr>
            <w:tcW w:w="1701" w:type="dxa"/>
            <w:textDirection w:val="lrTb"/>
            <w:vAlign w:val="top"/>
          </w:tcPr>
          <w:p>
            <w:pPr>
              <w:adjustRightInd w:val="0"/>
              <w:snapToGrid w:val="0"/>
              <w:rPr>
                <w:rFonts w:ascii="仿宋GB2312" w:hAnsi="仿宋" w:eastAsia="仿宋GB2312" w:cs="宋体"/>
                <w:color w:val="auto"/>
                <w:sz w:val="24"/>
                <w:szCs w:val="24"/>
              </w:rPr>
            </w:pPr>
            <w:r>
              <w:rPr>
                <w:rFonts w:hint="eastAsia" w:ascii="仿宋GB2312" w:hAnsi="仿宋" w:eastAsia="仿宋GB2312" w:cs="宋体"/>
                <w:sz w:val="24"/>
                <w:szCs w:val="24"/>
                <w:highlight w:val="none"/>
              </w:rPr>
              <w:t>浙江建设职业技术学院</w:t>
            </w:r>
          </w:p>
        </w:tc>
        <w:tc>
          <w:tcPr>
            <w:tcW w:w="877" w:type="dxa"/>
            <w:textDirection w:val="lrTb"/>
            <w:vAlign w:val="top"/>
          </w:tcPr>
          <w:p>
            <w:pPr>
              <w:adjustRightInd w:val="0"/>
              <w:snapToGrid w:val="0"/>
              <w:rPr>
                <w:rFonts w:ascii="仿宋GB2312" w:hAnsi="仿宋" w:eastAsia="仿宋GB2312" w:cs="宋体"/>
                <w:color w:val="auto"/>
                <w:sz w:val="24"/>
                <w:szCs w:val="24"/>
                <w:highlight w:val="yellow"/>
              </w:rPr>
            </w:pPr>
          </w:p>
        </w:tc>
        <w:tc>
          <w:tcPr>
            <w:tcW w:w="1596" w:type="dxa"/>
            <w:textDirection w:val="lrTb"/>
            <w:vAlign w:val="top"/>
          </w:tcPr>
          <w:p>
            <w:pPr>
              <w:adjustRightInd w:val="0"/>
              <w:snapToGrid w:val="0"/>
              <w:rPr>
                <w:rFonts w:ascii="仿宋GB2312" w:hAnsi="仿宋" w:eastAsia="仿宋GB2312" w:cs="宋体"/>
                <w:color w:val="auto"/>
                <w:sz w:val="24"/>
                <w:szCs w:val="24"/>
                <w:highlight w:val="yellow"/>
              </w:rPr>
            </w:pPr>
            <w:r>
              <w:rPr>
                <w:rFonts w:hint="eastAsia" w:ascii="仿宋GB2312" w:hAnsi="仿宋" w:eastAsia="仿宋GB2312" w:cs="宋体"/>
                <w:sz w:val="24"/>
                <w:szCs w:val="24"/>
                <w:highlight w:val="none"/>
              </w:rPr>
              <w:t>副教授</w:t>
            </w:r>
          </w:p>
        </w:tc>
        <w:tc>
          <w:tcPr>
            <w:tcW w:w="929" w:type="dxa"/>
            <w:textDirection w:val="lrTb"/>
            <w:vAlign w:val="top"/>
          </w:tcPr>
          <w:p>
            <w:pPr>
              <w:adjustRightInd w:val="0"/>
              <w:snapToGrid w:val="0"/>
              <w:rPr>
                <w:rFonts w:ascii="仿宋GB2312" w:hAnsi="仿宋" w:eastAsia="仿宋GB2312" w:cs="宋体"/>
                <w:color w:val="auto"/>
                <w:sz w:val="24"/>
                <w:szCs w:val="24"/>
              </w:rPr>
            </w:pPr>
          </w:p>
        </w:tc>
        <w:tc>
          <w:tcPr>
            <w:tcW w:w="1716" w:type="dxa"/>
            <w:textDirection w:val="lrTb"/>
            <w:vAlign w:val="top"/>
          </w:tcPr>
          <w:p>
            <w:pPr>
              <w:adjustRightInd w:val="0"/>
              <w:snapToGrid w:val="0"/>
              <w:rPr>
                <w:rFonts w:ascii="仿宋GB2312" w:hAnsi="仿宋" w:eastAsia="仿宋GB2312" w:cs="宋体"/>
                <w:color w:val="auto"/>
                <w:sz w:val="24"/>
                <w:szCs w:val="24"/>
              </w:rPr>
            </w:pPr>
            <w:r>
              <w:rPr>
                <w:rFonts w:hint="eastAsia" w:ascii="仿宋GB2312" w:hAnsi="仿宋" w:eastAsia="仿宋GB2312" w:cs="宋体"/>
                <w:sz w:val="24"/>
                <w:szCs w:val="24"/>
                <w:highlight w:val="none"/>
              </w:rPr>
              <w:t>18969939963</w:t>
            </w:r>
          </w:p>
        </w:tc>
        <w:tc>
          <w:tcPr>
            <w:tcW w:w="1440" w:type="dxa"/>
            <w:textDirection w:val="lrTb"/>
            <w:vAlign w:val="top"/>
          </w:tcPr>
          <w:p>
            <w:pPr>
              <w:adjustRightInd w:val="0"/>
              <w:snapToGrid w:val="0"/>
              <w:jc w:val="left"/>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myhmmyyhh@126.com</w:t>
            </w:r>
          </w:p>
          <w:p>
            <w:pPr>
              <w:adjustRightInd w:val="0"/>
              <w:snapToGrid w:val="0"/>
              <w:jc w:val="left"/>
              <w:rPr>
                <w:rFonts w:ascii="仿宋GB2312" w:hAnsi="仿宋" w:eastAsia="仿宋GB2312"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extDirection w:val="lrTb"/>
            <w:vAlign w:val="top"/>
          </w:tcPr>
          <w:p>
            <w:pPr>
              <w:adjustRightInd w:val="0"/>
              <w:snapToGrid w:val="0"/>
              <w:jc w:val="left"/>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杨晓平</w:t>
            </w:r>
          </w:p>
        </w:tc>
        <w:tc>
          <w:tcPr>
            <w:tcW w:w="1701"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湖北城市建设职业技术学院</w:t>
            </w:r>
          </w:p>
        </w:tc>
        <w:tc>
          <w:tcPr>
            <w:tcW w:w="877" w:type="dxa"/>
            <w:textDirection w:val="lrTb"/>
            <w:vAlign w:val="top"/>
          </w:tcPr>
          <w:p>
            <w:pPr>
              <w:adjustRightInd w:val="0"/>
              <w:snapToGrid w:val="0"/>
              <w:rPr>
                <w:rFonts w:ascii="仿宋GB2312" w:hAnsi="仿宋" w:eastAsia="仿宋GB2312" w:cs="宋体"/>
                <w:color w:val="auto"/>
                <w:sz w:val="24"/>
                <w:szCs w:val="24"/>
                <w:highlight w:val="yellow"/>
              </w:rPr>
            </w:pPr>
          </w:p>
        </w:tc>
        <w:tc>
          <w:tcPr>
            <w:tcW w:w="1596"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副教授</w:t>
            </w:r>
          </w:p>
        </w:tc>
        <w:tc>
          <w:tcPr>
            <w:tcW w:w="929" w:type="dxa"/>
            <w:textDirection w:val="lrTb"/>
            <w:vAlign w:val="top"/>
          </w:tcPr>
          <w:p>
            <w:pPr>
              <w:adjustRightInd w:val="0"/>
              <w:snapToGrid w:val="0"/>
              <w:rPr>
                <w:rFonts w:ascii="仿宋GB2312" w:hAnsi="仿宋" w:eastAsia="仿宋GB2312" w:cs="宋体"/>
                <w:color w:val="auto"/>
                <w:sz w:val="24"/>
                <w:szCs w:val="24"/>
              </w:rPr>
            </w:pPr>
          </w:p>
        </w:tc>
        <w:tc>
          <w:tcPr>
            <w:tcW w:w="1716"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18971481597</w:t>
            </w:r>
          </w:p>
        </w:tc>
        <w:tc>
          <w:tcPr>
            <w:tcW w:w="1440" w:type="dxa"/>
            <w:textDirection w:val="lrTb"/>
            <w:vAlign w:val="top"/>
          </w:tcPr>
          <w:p>
            <w:pPr>
              <w:adjustRightInd w:val="0"/>
              <w:snapToGrid w:val="0"/>
              <w:jc w:val="left"/>
              <w:rPr>
                <w:rFonts w:ascii="仿宋GB2312" w:hAnsi="仿宋" w:eastAsia="仿宋GB2312" w:cs="宋体"/>
                <w:color w:val="auto"/>
                <w:sz w:val="24"/>
                <w:szCs w:val="24"/>
              </w:rPr>
            </w:pPr>
            <w:r>
              <w:rPr>
                <w:rFonts w:hint="eastAsia" w:ascii="仿宋GB2312" w:hAnsi="仿宋" w:eastAsia="仿宋GB2312" w:cs="宋体"/>
                <w:sz w:val="24"/>
                <w:szCs w:val="24"/>
                <w:highlight w:val="none"/>
              </w:rPr>
              <w:t>Yxp66032@163.com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杨平</w:t>
            </w:r>
          </w:p>
        </w:tc>
        <w:tc>
          <w:tcPr>
            <w:tcW w:w="1701"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广西城市建设学校</w:t>
            </w:r>
          </w:p>
        </w:tc>
        <w:tc>
          <w:tcPr>
            <w:tcW w:w="877" w:type="dxa"/>
            <w:textDirection w:val="lrTb"/>
            <w:vAlign w:val="top"/>
          </w:tcPr>
          <w:p>
            <w:pPr>
              <w:adjustRightInd w:val="0"/>
              <w:snapToGrid w:val="0"/>
              <w:rPr>
                <w:rFonts w:hint="eastAsia" w:ascii="仿宋GB2312" w:hAnsi="仿宋" w:eastAsia="仿宋GB2312" w:cs="宋体"/>
                <w:sz w:val="24"/>
                <w:szCs w:val="24"/>
                <w:highlight w:val="none"/>
              </w:rPr>
            </w:pPr>
          </w:p>
        </w:tc>
        <w:tc>
          <w:tcPr>
            <w:tcW w:w="1596"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高级讲师</w:t>
            </w:r>
          </w:p>
        </w:tc>
        <w:tc>
          <w:tcPr>
            <w:tcW w:w="929" w:type="dxa"/>
            <w:textDirection w:val="lrTb"/>
            <w:vAlign w:val="top"/>
          </w:tcPr>
          <w:p>
            <w:pPr>
              <w:adjustRightInd w:val="0"/>
              <w:snapToGrid w:val="0"/>
              <w:rPr>
                <w:rFonts w:hint="eastAsia" w:ascii="仿宋GB2312" w:hAnsi="仿宋" w:eastAsia="仿宋GB2312" w:cs="宋体"/>
                <w:sz w:val="24"/>
                <w:szCs w:val="24"/>
                <w:highlight w:val="none"/>
              </w:rPr>
            </w:pPr>
          </w:p>
        </w:tc>
        <w:tc>
          <w:tcPr>
            <w:tcW w:w="1716"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13207736321</w:t>
            </w:r>
          </w:p>
        </w:tc>
        <w:tc>
          <w:tcPr>
            <w:tcW w:w="1440"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Yp20020818@163.com</w:t>
            </w:r>
          </w:p>
          <w:p>
            <w:pPr>
              <w:adjustRightInd w:val="0"/>
              <w:snapToGrid w:val="0"/>
              <w:rPr>
                <w:rFonts w:hint="eastAsia" w:ascii="仿宋GB2312" w:hAnsi="仿宋" w:eastAsia="仿宋GB2312"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extDirection w:val="lrTb"/>
            <w:vAlign w:val="top"/>
          </w:tcPr>
          <w:p>
            <w:pPr>
              <w:adjustRightInd w:val="0"/>
              <w:snapToGrid w:val="0"/>
              <w:rPr>
                <w:rFonts w:hint="eastAsia" w:ascii="仿宋GB2312" w:hAnsi="仿宋" w:eastAsia="仿宋GB2312" w:cs="宋体"/>
                <w:sz w:val="24"/>
                <w:szCs w:val="24"/>
                <w:highlight w:val="none"/>
                <w:lang w:eastAsia="zh-CN"/>
              </w:rPr>
            </w:pPr>
            <w:r>
              <w:rPr>
                <w:rFonts w:hint="eastAsia" w:ascii="仿宋GB2312" w:hAnsi="仿宋" w:eastAsia="仿宋GB2312" w:cs="宋体"/>
                <w:sz w:val="24"/>
                <w:szCs w:val="24"/>
                <w:highlight w:val="none"/>
                <w:lang w:eastAsia="zh-CN"/>
              </w:rPr>
              <w:t>姚麒麟</w:t>
            </w:r>
          </w:p>
        </w:tc>
        <w:tc>
          <w:tcPr>
            <w:tcW w:w="1701"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华东电力设计院</w:t>
            </w:r>
          </w:p>
        </w:tc>
        <w:tc>
          <w:tcPr>
            <w:tcW w:w="877" w:type="dxa"/>
            <w:textDirection w:val="lrTb"/>
            <w:vAlign w:val="top"/>
          </w:tcPr>
          <w:p>
            <w:pPr>
              <w:adjustRightInd w:val="0"/>
              <w:snapToGrid w:val="0"/>
              <w:rPr>
                <w:rFonts w:hint="eastAsia" w:ascii="仿宋GB2312" w:hAnsi="仿宋" w:eastAsia="仿宋GB2312" w:cs="宋体"/>
                <w:sz w:val="24"/>
                <w:szCs w:val="24"/>
                <w:highlight w:val="none"/>
              </w:rPr>
            </w:pPr>
          </w:p>
        </w:tc>
        <w:tc>
          <w:tcPr>
            <w:tcW w:w="1596" w:type="dxa"/>
            <w:textDirection w:val="lrTb"/>
            <w:vAlign w:val="top"/>
          </w:tcPr>
          <w:p>
            <w:pPr>
              <w:adjustRightInd w:val="0"/>
              <w:snapToGrid w:val="0"/>
              <w:rPr>
                <w:rFonts w:hint="eastAsia" w:ascii="仿宋GB2312" w:hAnsi="仿宋" w:eastAsia="仿宋GB2312" w:cs="宋体"/>
                <w:sz w:val="24"/>
                <w:szCs w:val="24"/>
                <w:highlight w:val="none"/>
                <w:lang w:eastAsia="zh-CN"/>
              </w:rPr>
            </w:pPr>
            <w:r>
              <w:rPr>
                <w:rFonts w:hint="eastAsia" w:ascii="仿宋GB2312" w:hAnsi="仿宋" w:eastAsia="仿宋GB2312" w:cs="宋体"/>
                <w:sz w:val="24"/>
                <w:szCs w:val="24"/>
                <w:highlight w:val="none"/>
                <w:lang w:eastAsia="zh-CN"/>
              </w:rPr>
              <w:t>高级工程师</w:t>
            </w:r>
          </w:p>
        </w:tc>
        <w:tc>
          <w:tcPr>
            <w:tcW w:w="929" w:type="dxa"/>
            <w:textDirection w:val="lrTb"/>
            <w:vAlign w:val="top"/>
          </w:tcPr>
          <w:p>
            <w:pPr>
              <w:adjustRightInd w:val="0"/>
              <w:snapToGrid w:val="0"/>
              <w:rPr>
                <w:rFonts w:hint="eastAsia" w:ascii="仿宋GB2312" w:hAnsi="仿宋" w:eastAsia="仿宋GB2312" w:cs="宋体"/>
                <w:sz w:val="24"/>
                <w:szCs w:val="24"/>
                <w:highlight w:val="none"/>
              </w:rPr>
            </w:pPr>
          </w:p>
        </w:tc>
        <w:tc>
          <w:tcPr>
            <w:tcW w:w="1716"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18901802107</w:t>
            </w:r>
          </w:p>
        </w:tc>
        <w:tc>
          <w:tcPr>
            <w:tcW w:w="1440" w:type="dxa"/>
            <w:textDirection w:val="lrTb"/>
            <w:vAlign w:val="top"/>
          </w:tcPr>
          <w:p>
            <w:pPr>
              <w:adjustRightInd w:val="0"/>
              <w:snapToGrid w:val="0"/>
              <w:rPr>
                <w:rFonts w:hint="eastAsia" w:ascii="仿宋GB2312" w:hAnsi="仿宋" w:eastAsia="仿宋GB2312" w:cs="宋体"/>
                <w:sz w:val="24"/>
                <w:szCs w:val="24"/>
                <w:highlight w:val="none"/>
              </w:rPr>
            </w:pPr>
            <w:r>
              <w:rPr>
                <w:rFonts w:hint="eastAsia" w:ascii="仿宋GB2312" w:hAnsi="仿宋" w:eastAsia="仿宋GB2312" w:cs="宋体"/>
                <w:sz w:val="24"/>
                <w:szCs w:val="24"/>
                <w:highlight w:val="none"/>
              </w:rPr>
              <w:t>yql@ecepdi.com</w:t>
            </w:r>
          </w:p>
        </w:tc>
      </w:tr>
    </w:tbl>
    <w:p>
      <w:pPr>
        <w:snapToGrid w:val="0"/>
        <w:spacing w:line="560" w:lineRule="exact"/>
        <w:ind w:firstLine="600" w:firstLineChars="200"/>
        <w:rPr>
          <w:rFonts w:ascii="Arial Narrow" w:hAnsi="Arial Narrow" w:eastAsia="仿宋_GB2312" w:cs="Arial"/>
          <w:b/>
          <w:color w:val="auto"/>
          <w:sz w:val="30"/>
          <w:szCs w:val="30"/>
        </w:rPr>
      </w:pP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三、赛项目的</w:t>
      </w:r>
    </w:p>
    <w:p>
      <w:pPr>
        <w:pStyle w:val="8"/>
        <w:adjustRightInd w:val="0"/>
        <w:snapToGrid w:val="0"/>
        <w:spacing w:line="360" w:lineRule="auto"/>
        <w:ind w:firstLine="640"/>
        <w:rPr>
          <w:rFonts w:ascii="仿宋_GB2312" w:hAnsi="华文中宋" w:eastAsia="仿宋_GB2312"/>
          <w:color w:val="auto"/>
          <w:sz w:val="32"/>
          <w:szCs w:val="32"/>
        </w:rPr>
      </w:pPr>
      <w:r>
        <w:rPr>
          <w:rFonts w:hint="eastAsia" w:ascii="仿宋_GB2312" w:hAnsi="华文中宋" w:eastAsia="仿宋_GB2312"/>
          <w:color w:val="auto"/>
          <w:sz w:val="32"/>
          <w:szCs w:val="32"/>
        </w:rPr>
        <w:t>通过本次竞赛,检阅参赛选手的工程测量基本理论知识、技术应用水平和仪器操作能力；展示近年来我国中等职业学校建筑工程技术专业的教学改革成就、参赛学生的组织管理、团队协作能力和效率、安全意识等方面的职业素养；引导中等职业学校关注行业发展趋势及新技术的应用，</w:t>
      </w:r>
      <w:r>
        <w:rPr>
          <w:rFonts w:hint="eastAsia" w:ascii="仿宋_GB2312" w:hAnsi="宋体" w:eastAsia="仿宋_GB2312" w:cs="宋体"/>
          <w:color w:val="auto"/>
          <w:kern w:val="0"/>
          <w:sz w:val="32"/>
          <w:szCs w:val="32"/>
        </w:rPr>
        <w:t>促进建筑工程技术专业教学案例及相关教学资源的积累，推动课程改革与建设，加快</w:t>
      </w:r>
      <w:r>
        <w:rPr>
          <w:rFonts w:hint="eastAsia" w:ascii="仿宋_GB2312" w:hAnsi="华文中宋" w:eastAsia="仿宋_GB2312"/>
          <w:color w:val="auto"/>
          <w:sz w:val="32"/>
          <w:szCs w:val="32"/>
        </w:rPr>
        <w:t>工学结合人才培养模式改革和创新的步伐,培养可持续发展的满足企业需要的建设类高技能人才。</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四、赛项设计原则</w:t>
      </w:r>
    </w:p>
    <w:p>
      <w:pPr>
        <w:pStyle w:val="8"/>
        <w:adjustRightInd w:val="0"/>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工程测量为建筑类及相关专业学生的基础学习课程，通过该赛项不仅培养了中职学生的动手能力和实践能力，激发了测绘及地理信息及相关专业学生对工程测量技能的学习热情和积极性，而且提升了老师及学生的能力和水平和学校的整体仪器装备水平。</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五、赛项方案的特色与创新点</w:t>
      </w:r>
    </w:p>
    <w:p>
      <w:pPr>
        <w:snapToGrid w:val="0"/>
        <w:spacing w:line="560" w:lineRule="exact"/>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比赛用设备性能提升，</w:t>
      </w:r>
      <w:r>
        <w:rPr>
          <w:rFonts w:ascii="仿宋_GB2312" w:hAnsi="华文中宋" w:eastAsia="仿宋_GB2312"/>
          <w:color w:val="auto"/>
          <w:sz w:val="32"/>
          <w:szCs w:val="32"/>
        </w:rPr>
        <w:t>充分体现</w:t>
      </w:r>
      <w:r>
        <w:rPr>
          <w:rFonts w:hint="eastAsia" w:ascii="仿宋_GB2312" w:hAnsi="华文中宋" w:eastAsia="仿宋_GB2312"/>
          <w:color w:val="auto"/>
          <w:sz w:val="32"/>
          <w:szCs w:val="32"/>
        </w:rPr>
        <w:t>行业工作的实际需要，又充分考虑全国的中职测量课程、学生素质的具体实际，还便于各地操作训练。更加注重对选手综合素质的考察。团队每个选手都需要具备过硬的基本功和技能技巧，在比赛中所表现出来的心理稳定性、操作规范性、安全意识、团结协作能力和全局观念等职业素养成为决胜要素。</w:t>
      </w:r>
    </w:p>
    <w:p>
      <w:pPr>
        <w:snapToGrid w:val="0"/>
        <w:spacing w:line="560" w:lineRule="exact"/>
        <w:ind w:firstLine="640" w:firstLineChars="200"/>
        <w:rPr>
          <w:rFonts w:ascii="仿宋_GB2312" w:hAnsi="华文中宋" w:eastAsia="仿宋_GB2312"/>
          <w:color w:val="auto"/>
          <w:sz w:val="32"/>
          <w:szCs w:val="32"/>
        </w:rPr>
      </w:pP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六、竞赛内容简介（须附英文对照简介）</w:t>
      </w:r>
    </w:p>
    <w:p>
      <w:pPr>
        <w:adjustRightInd w:val="0"/>
        <w:snapToGrid w:val="0"/>
        <w:spacing w:line="360" w:lineRule="auto"/>
        <w:ind w:firstLine="640" w:firstLineChars="200"/>
        <w:rPr>
          <w:rFonts w:ascii="仿宋_GB2312" w:hAnsi="华文中宋" w:eastAsia="仿宋_GB2312"/>
          <w:b/>
          <w:color w:val="auto"/>
          <w:sz w:val="32"/>
          <w:szCs w:val="32"/>
        </w:rPr>
      </w:pPr>
      <w:r>
        <w:rPr>
          <w:rFonts w:hint="eastAsia" w:ascii="仿宋_GB2312" w:hAnsi="华文中宋" w:eastAsia="仿宋_GB2312"/>
          <w:b/>
          <w:color w:val="auto"/>
          <w:sz w:val="32"/>
          <w:szCs w:val="32"/>
        </w:rPr>
        <w:t>比赛内容</w:t>
      </w:r>
    </w:p>
    <w:p>
      <w:pPr>
        <w:numPr>
          <w:ilvl w:val="0"/>
          <w:numId w:val="1"/>
        </w:numPr>
        <w:adjustRightInd w:val="0"/>
        <w:snapToGrid w:val="0"/>
        <w:spacing w:line="360" w:lineRule="auto"/>
        <w:rPr>
          <w:rFonts w:ascii="仿宋_GB2312" w:hAnsi="华文中宋" w:eastAsia="仿宋_GB2312"/>
          <w:color w:val="auto"/>
          <w:sz w:val="32"/>
          <w:szCs w:val="32"/>
        </w:rPr>
      </w:pPr>
      <w:r>
        <w:rPr>
          <w:rFonts w:hint="eastAsia" w:ascii="仿宋_GB2312" w:hAnsi="华文中宋" w:eastAsia="仿宋_GB2312"/>
          <w:color w:val="auto"/>
          <w:sz w:val="32"/>
          <w:szCs w:val="32"/>
        </w:rPr>
        <w:t>理论知识考试</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理论知识考试试卷命题以建筑工程技术专业人才培养要求为基础，结合《工程测量员国家职业标准》中级技能的知识要求和生产岗位需要，适当增加新知识、新技术、新技能等相关内容。考试范围详见“2016年全国职业院校技能大赛中职组工程测量项目竞赛理论考试大纲”(附件1)。</w:t>
      </w:r>
    </w:p>
    <w:p>
      <w:pPr>
        <w:pStyle w:val="2"/>
        <w:numPr>
          <w:ilvl w:val="0"/>
          <w:numId w:val="1"/>
        </w:numPr>
        <w:adjustRightInd w:val="0"/>
        <w:snapToGrid w:val="0"/>
        <w:spacing w:line="360" w:lineRule="auto"/>
        <w:rPr>
          <w:rFonts w:ascii="仿宋_GB2312" w:hAnsi="华文中宋"/>
          <w:bCs w:val="0"/>
          <w:color w:val="auto"/>
          <w:szCs w:val="32"/>
        </w:rPr>
      </w:pPr>
      <w:r>
        <w:rPr>
          <w:rFonts w:hint="eastAsia" w:ascii="仿宋_GB2312" w:hAnsi="华文中宋"/>
          <w:bCs w:val="0"/>
          <w:color w:val="auto"/>
          <w:szCs w:val="32"/>
        </w:rPr>
        <w:t>技能操作考核</w:t>
      </w:r>
    </w:p>
    <w:p>
      <w:pPr>
        <w:pStyle w:val="2"/>
        <w:adjustRightInd w:val="0"/>
        <w:snapToGrid w:val="0"/>
        <w:spacing w:line="360" w:lineRule="auto"/>
        <w:ind w:firstLine="640" w:firstLineChars="200"/>
        <w:rPr>
          <w:rFonts w:ascii="仿宋_GB2312" w:hAnsi="华文中宋"/>
          <w:bCs w:val="0"/>
          <w:color w:val="auto"/>
          <w:szCs w:val="32"/>
        </w:rPr>
      </w:pPr>
      <w:r>
        <w:rPr>
          <w:rFonts w:hint="eastAsia" w:ascii="仿宋_GB2312" w:hAnsi="华文中宋"/>
          <w:bCs w:val="0"/>
          <w:color w:val="auto"/>
          <w:szCs w:val="32"/>
        </w:rPr>
        <w:t>技能操作考核包括两个项目：四等水准测量和三级导线测量。技能操作将根据观测、记录、数据处理等操作规范性、协调性、完成速度、外业观测和计算成果质量等给予评分。</w:t>
      </w:r>
    </w:p>
    <w:p>
      <w:pPr>
        <w:adjustRightInd w:val="0"/>
        <w:snapToGrid w:val="0"/>
        <w:spacing w:line="360" w:lineRule="auto"/>
        <w:ind w:left="220" w:firstLine="420"/>
        <w:rPr>
          <w:rFonts w:ascii="仿宋_GB2312" w:hAnsi="华文中宋" w:eastAsia="仿宋_GB2312"/>
          <w:b/>
          <w:color w:val="auto"/>
          <w:sz w:val="32"/>
          <w:szCs w:val="32"/>
        </w:rPr>
      </w:pPr>
      <w:r>
        <w:rPr>
          <w:rFonts w:hint="eastAsia" w:ascii="仿宋_GB2312" w:hAnsi="华文中宋" w:eastAsia="仿宋_GB2312"/>
          <w:b/>
          <w:color w:val="auto"/>
          <w:sz w:val="32"/>
          <w:szCs w:val="32"/>
        </w:rPr>
        <w:t>赛项简介（中英文对照）</w:t>
      </w:r>
    </w:p>
    <w:p>
      <w:pPr>
        <w:pStyle w:val="8"/>
        <w:adjustRightInd w:val="0"/>
        <w:snapToGrid w:val="0"/>
        <w:spacing w:line="360" w:lineRule="auto"/>
        <w:ind w:firstLine="640"/>
        <w:jc w:val="left"/>
        <w:rPr>
          <w:rFonts w:ascii="仿宋_GB2312" w:hAnsi="华文中宋" w:eastAsia="仿宋_GB2312"/>
          <w:color w:val="auto"/>
          <w:sz w:val="32"/>
          <w:szCs w:val="32"/>
        </w:rPr>
      </w:pPr>
      <w:r>
        <w:rPr>
          <w:rFonts w:hint="eastAsia" w:ascii="仿宋_GB2312" w:hAnsi="华文中宋" w:eastAsia="仿宋_GB2312"/>
          <w:color w:val="auto"/>
          <w:sz w:val="32"/>
          <w:szCs w:val="32"/>
        </w:rPr>
        <w:t>测绘地理信息作为经济建设、工程建设的基础性行业，为国民经济、社会发展以及国家各个部门提供了重要的保障，并为各项工程的顺利实施提供技术、信息和决策支持。根据测绘地理信息技术领域和职业岗位（群）的任职要求，以实际测量生产任务为载体，依托职业技能竞赛引导高技能人才培养模式改革和专业建设；积极探索高技能人才培养的途径和方法；检验相关专业的教学水平；展示测绘地理信息教学工作、学习风貌和教学成果；检验学生现场分析问题和解决问题的能力、组织管理与团队协作能力、适应实践需求的应变能力；检验学生职业道德养成和适应就业需要的专业技能的具备情况；通过竞赛促进学生能够可持续发展，提高其终身学习的能力，特举办此赛事。</w:t>
      </w:r>
    </w:p>
    <w:p>
      <w:pPr>
        <w:autoSpaceDE w:val="0"/>
        <w:autoSpaceDN w:val="0"/>
        <w:adjustRightInd w:val="0"/>
        <w:jc w:val="left"/>
        <w:rPr>
          <w:color w:val="auto"/>
          <w:sz w:val="30"/>
          <w:szCs w:val="30"/>
        </w:rPr>
      </w:pPr>
      <w:r>
        <w:rPr>
          <w:rFonts w:hint="eastAsia"/>
          <w:color w:val="auto"/>
          <w:sz w:val="30"/>
          <w:szCs w:val="30"/>
        </w:rPr>
        <w:t>Surveying</w:t>
      </w:r>
      <w:r>
        <w:rPr>
          <w:color w:val="auto"/>
          <w:sz w:val="30"/>
          <w:szCs w:val="30"/>
        </w:rPr>
        <w:t xml:space="preserve"> mapping and geographic information</w:t>
      </w:r>
      <w:r>
        <w:rPr>
          <w:rFonts w:hint="eastAsia"/>
          <w:color w:val="auto"/>
          <w:sz w:val="30"/>
          <w:szCs w:val="30"/>
        </w:rPr>
        <w:t xml:space="preserve"> is one of the most important industries for construction and economic development. According to the requirements of relative jobs, we set up the contest in order to seek for high efficient ways to teach survey students. Through it, we can check the students</w:t>
      </w:r>
      <w:r>
        <w:rPr>
          <w:color w:val="auto"/>
          <w:sz w:val="30"/>
          <w:szCs w:val="30"/>
        </w:rPr>
        <w:t>’</w:t>
      </w:r>
      <w:r>
        <w:rPr>
          <w:rFonts w:hint="eastAsia"/>
          <w:color w:val="auto"/>
          <w:sz w:val="30"/>
          <w:szCs w:val="30"/>
        </w:rPr>
        <w:t xml:space="preserve"> ability for analyzing questions and providing the solutions, even inspire them for long-life learning.</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七、竞赛方式（含组队要求、是否邀请境外代表队参赛）</w:t>
      </w:r>
    </w:p>
    <w:p>
      <w:pPr>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本次比赛以团队方式进行，参赛选手必须是中职学校2014年度在籍学生，男女不限。每个省(自治区、直辖市)可选派2支代表队参赛,每队由4名选手组成,可配备1名测量指导教师。</w:t>
      </w:r>
    </w:p>
    <w:p>
      <w:pPr>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理论考试采取书面闭卷形式，由参赛选手在规定时间内完成答题任务。技能操作考核由参赛选手按要求现场完成水准仪和全站仪的实际操作。</w:t>
      </w:r>
    </w:p>
    <w:p>
      <w:pPr>
        <w:pStyle w:val="8"/>
        <w:adjustRightInd w:val="0"/>
        <w:snapToGrid w:val="0"/>
        <w:spacing w:line="360" w:lineRule="auto"/>
        <w:ind w:firstLine="630" w:firstLineChars="0"/>
        <w:rPr>
          <w:rFonts w:ascii="仿宋_GB2312" w:hAnsi="华文中宋" w:eastAsia="仿宋_GB2312"/>
          <w:color w:val="auto"/>
          <w:sz w:val="32"/>
          <w:szCs w:val="32"/>
        </w:rPr>
      </w:pPr>
      <w:r>
        <w:rPr>
          <w:rFonts w:hint="eastAsia" w:ascii="仿宋_GB2312" w:hAnsi="华文中宋" w:eastAsia="仿宋_GB2312"/>
          <w:color w:val="auto"/>
          <w:sz w:val="32"/>
          <w:szCs w:val="32"/>
        </w:rPr>
        <w:t>注：不邀请境外代表队。</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八、竞赛时间安排与流程</w:t>
      </w:r>
    </w:p>
    <w:p>
      <w:pPr>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(1)理论考试规定用时60分钟。</w:t>
      </w:r>
    </w:p>
    <w:p>
      <w:pPr>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(2)四等水准测量</w:t>
      </w:r>
      <w:r>
        <w:rPr>
          <w:rFonts w:hint="eastAsia" w:ascii="Arial Unicode MS" w:hAnsi="Arial Unicode MS" w:eastAsia="Arial Unicode MS" w:cs="Arial Unicode MS"/>
          <w:color w:val="auto"/>
          <w:sz w:val="32"/>
          <w:szCs w:val="32"/>
        </w:rPr>
        <w:t>、</w:t>
      </w:r>
      <w:r>
        <w:rPr>
          <w:rFonts w:hint="eastAsia" w:ascii="仿宋_GB2312" w:hAnsi="华文中宋" w:eastAsia="仿宋_GB2312"/>
          <w:color w:val="auto"/>
          <w:sz w:val="32"/>
          <w:szCs w:val="32"/>
        </w:rPr>
        <w:t>计算规定用时为50分钟。</w:t>
      </w:r>
    </w:p>
    <w:p>
      <w:pPr>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(3)三级导线测量</w:t>
      </w:r>
      <w:r>
        <w:rPr>
          <w:rFonts w:hint="eastAsia" w:ascii="Arial Unicode MS" w:hAnsi="Arial Unicode MS" w:eastAsia="Arial Unicode MS" w:cs="Arial Unicode MS"/>
          <w:color w:val="auto"/>
          <w:sz w:val="32"/>
          <w:szCs w:val="32"/>
        </w:rPr>
        <w:t>、</w:t>
      </w:r>
      <w:r>
        <w:rPr>
          <w:rFonts w:hint="eastAsia" w:ascii="仿宋_GB2312" w:hAnsi="华文中宋" w:eastAsia="仿宋_GB2312"/>
          <w:color w:val="auto"/>
          <w:sz w:val="32"/>
          <w:szCs w:val="32"/>
        </w:rPr>
        <w:t>计算规定用时为50分钟。</w:t>
      </w:r>
    </w:p>
    <w:p>
      <w:pPr>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(4)比赛流程：参赛队报到——组织参赛选手赛前熟悉场地、介绍比赛规程——举办开幕式——正式比赛（期间组织观摩、交流活动）——比赛结束（参赛队上交比赛成果）——专家评委进行评定——举办颁奖仪式、闭幕式——召开竞赛执行委员会总结会议。</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九、竞赛试题</w:t>
      </w:r>
    </w:p>
    <w:p>
      <w:pPr>
        <w:pStyle w:val="8"/>
        <w:adjustRightInd w:val="0"/>
        <w:snapToGrid w:val="0"/>
        <w:spacing w:line="360" w:lineRule="auto"/>
        <w:ind w:left="525" w:firstLine="0" w:firstLineChars="0"/>
        <w:rPr>
          <w:rFonts w:ascii="仿宋_GB2312" w:hAnsi="华文中宋" w:eastAsia="仿宋_GB2312"/>
          <w:color w:val="auto"/>
          <w:sz w:val="32"/>
          <w:szCs w:val="32"/>
        </w:rPr>
      </w:pPr>
      <w:r>
        <w:rPr>
          <w:rFonts w:hint="eastAsia" w:ascii="仿宋_GB2312" w:hAnsi="华文中宋" w:eastAsia="仿宋_GB2312"/>
          <w:color w:val="auto"/>
          <w:sz w:val="32"/>
          <w:szCs w:val="32"/>
        </w:rPr>
        <w:t>详见附件</w:t>
      </w:r>
      <w:r>
        <w:rPr>
          <w:rFonts w:hint="eastAsia" w:ascii="仿宋_GB2312" w:hAnsi="华文中宋" w:eastAsia="仿宋_GB2312"/>
          <w:color w:val="auto"/>
          <w:sz w:val="32"/>
          <w:szCs w:val="32"/>
          <w:lang w:val="en-US" w:eastAsia="zh-CN"/>
        </w:rPr>
        <w:t>1</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十、评分标准制定原则、评分方法、评分细则</w:t>
      </w:r>
    </w:p>
    <w:p>
      <w:pPr>
        <w:adjustRightInd w:val="0"/>
        <w:snapToGrid w:val="0"/>
        <w:spacing w:line="360" w:lineRule="auto"/>
        <w:ind w:firstLine="640" w:firstLineChars="200"/>
        <w:rPr>
          <w:rFonts w:hint="eastAsia" w:ascii="仿宋_GB2312" w:hAnsi="华文中宋" w:eastAsia="仿宋_GB2312"/>
          <w:color w:val="auto"/>
          <w:sz w:val="32"/>
          <w:szCs w:val="32"/>
        </w:rPr>
      </w:pPr>
      <w:r>
        <w:rPr>
          <w:rFonts w:hint="eastAsia" w:ascii="仿宋_GB2312" w:hAnsi="华文中宋" w:eastAsia="仿宋_GB2312"/>
          <w:color w:val="auto"/>
          <w:sz w:val="32"/>
          <w:szCs w:val="32"/>
        </w:rPr>
        <w:t xml:space="preserve"> (1)各参赛队按理论知识考试占20%、技能操作考核占80%（其中四等水准测量占30%、三级导线测量占50%）的比例计算总成绩。总成绩取位至小数点后1位。总分相同时再分别按照三级导线测量、四等水准测量成绩排序，成绩高的名次排前。</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(2)各参赛队的理论考试成绩取队内4名选手理论考试的平均成绩。</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(3)四等水准测量计分办法：</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仪器操作20分、记录计算20分、测量成果精度50分、测量用时10分。</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(4)三级导线测量计分办法：</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仪器操作20分、记录计算20分、测量精度50分、测量用时10分。</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十一、奖项设置</w:t>
      </w:r>
    </w:p>
    <w:p>
      <w:pPr>
        <w:pStyle w:val="8"/>
        <w:snapToGrid w:val="0"/>
        <w:spacing w:line="360" w:lineRule="auto"/>
        <w:ind w:firstLine="640"/>
        <w:jc w:val="left"/>
        <w:rPr>
          <w:rFonts w:ascii="仿宋_GB2312" w:hAnsi="华文中宋" w:eastAsia="仿宋_GB2312"/>
          <w:color w:val="auto"/>
          <w:sz w:val="32"/>
          <w:szCs w:val="32"/>
        </w:rPr>
      </w:pPr>
      <w:r>
        <w:rPr>
          <w:rFonts w:hint="eastAsia" w:ascii="仿宋_GB2312" w:hAnsi="华文中宋" w:eastAsia="仿宋_GB2312"/>
          <w:color w:val="auto"/>
          <w:sz w:val="32"/>
          <w:szCs w:val="32"/>
        </w:rPr>
        <w:t>按照参赛队伍数量分别按10%、20%、30%的比例设置一、二、三等团体奖。奖项数量根据各组的参赛人数按比例确定。获得一等奖的团体赛参赛选手的指导教师由组委会颁发优秀指导教师证书。</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十二、技术规范</w:t>
      </w:r>
    </w:p>
    <w:p>
      <w:pPr>
        <w:pStyle w:val="8"/>
        <w:adjustRightInd w:val="0"/>
        <w:snapToGrid w:val="0"/>
        <w:spacing w:line="360" w:lineRule="auto"/>
        <w:ind w:left="630" w:leftChars="300" w:firstLine="0" w:firstLineChars="0"/>
        <w:rPr>
          <w:rFonts w:ascii="仿宋_GB2312" w:hAnsi="华文中宋" w:eastAsia="仿宋_GB2312"/>
          <w:color w:val="auto"/>
          <w:sz w:val="32"/>
          <w:szCs w:val="32"/>
        </w:rPr>
      </w:pPr>
      <w:r>
        <w:rPr>
          <w:rFonts w:hint="eastAsia" w:ascii="仿宋_GB2312" w:hAnsi="华文中宋" w:eastAsia="仿宋_GB2312"/>
          <w:color w:val="auto"/>
          <w:sz w:val="32"/>
          <w:szCs w:val="32"/>
        </w:rPr>
        <w:t>详见附件2</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十三、建议使用的比赛器材、技术平台和场地要求</w:t>
      </w:r>
    </w:p>
    <w:p>
      <w:pPr>
        <w:pStyle w:val="8"/>
        <w:adjustRightInd w:val="0"/>
        <w:snapToGrid w:val="0"/>
        <w:spacing w:line="360" w:lineRule="auto"/>
        <w:ind w:firstLine="627" w:firstLineChars="196"/>
        <w:rPr>
          <w:rFonts w:hint="eastAsia" w:ascii="仿宋_GB2312" w:hAnsi="华文中宋" w:eastAsia="仿宋_GB2312"/>
          <w:color w:val="auto"/>
          <w:sz w:val="32"/>
          <w:szCs w:val="32"/>
        </w:rPr>
      </w:pPr>
      <w:r>
        <w:rPr>
          <w:rFonts w:hint="eastAsia" w:ascii="仿宋_GB2312" w:hAnsi="华文中宋" w:eastAsia="仿宋_GB2312"/>
          <w:color w:val="auto"/>
          <w:sz w:val="32"/>
          <w:szCs w:val="32"/>
        </w:rPr>
        <w:t>GB50026－2007 国家标准《工程测量规范》。</w:t>
      </w:r>
    </w:p>
    <w:p>
      <w:pPr>
        <w:adjustRightInd w:val="0"/>
        <w:snapToGrid w:val="0"/>
        <w:spacing w:line="360" w:lineRule="auto"/>
        <w:ind w:left="105" w:firstLine="420"/>
        <w:rPr>
          <w:rFonts w:ascii="仿宋_GB2312" w:hAnsi="华文中宋" w:eastAsia="仿宋_GB2312"/>
          <w:color w:val="auto"/>
          <w:sz w:val="32"/>
          <w:szCs w:val="32"/>
        </w:rPr>
      </w:pPr>
      <w:r>
        <w:rPr>
          <w:rFonts w:hint="eastAsia" w:ascii="仿宋_GB2312" w:hAnsi="华文中宋" w:eastAsia="仿宋_GB2312"/>
          <w:color w:val="auto"/>
          <w:sz w:val="32"/>
          <w:szCs w:val="32"/>
        </w:rPr>
        <w:t>建议使用的比赛器材和技术平台</w:t>
      </w:r>
    </w:p>
    <w:p>
      <w:pPr>
        <w:adjustRightInd w:val="0"/>
        <w:snapToGrid w:val="0"/>
        <w:spacing w:line="360" w:lineRule="auto"/>
        <w:ind w:left="525"/>
        <w:rPr>
          <w:rFonts w:ascii="仿宋_GB2312" w:hAnsi="华文中宋" w:eastAsia="仿宋_GB2312"/>
          <w:color w:val="auto"/>
          <w:sz w:val="32"/>
          <w:szCs w:val="32"/>
        </w:rPr>
      </w:pPr>
      <w:r>
        <w:rPr>
          <w:rFonts w:hint="eastAsia" w:ascii="仿宋_GB2312" w:hAnsi="华文中宋" w:eastAsia="仿宋_GB2312"/>
          <w:color w:val="auto"/>
          <w:sz w:val="32"/>
          <w:szCs w:val="32"/>
        </w:rPr>
        <w:t>苏一光全站仪 型号：</w:t>
      </w:r>
      <w:r>
        <w:rPr>
          <w:rFonts w:ascii="仿宋_GB2312" w:hAnsi="华文中宋" w:eastAsia="仿宋_GB2312"/>
          <w:color w:val="auto"/>
          <w:sz w:val="32"/>
          <w:szCs w:val="32"/>
        </w:rPr>
        <w:t>RTS322R10</w:t>
      </w:r>
      <w:r>
        <w:rPr>
          <w:rFonts w:hint="eastAsia" w:ascii="仿宋_GB2312" w:hAnsi="华文中宋" w:eastAsia="仿宋_GB2312"/>
          <w:color w:val="auto"/>
          <w:sz w:val="32"/>
          <w:szCs w:val="32"/>
        </w:rPr>
        <w:t xml:space="preserve"> </w:t>
      </w:r>
    </w:p>
    <w:p>
      <w:pPr>
        <w:adjustRightInd w:val="0"/>
        <w:snapToGrid w:val="0"/>
        <w:spacing w:line="360" w:lineRule="auto"/>
        <w:ind w:left="525"/>
        <w:rPr>
          <w:rFonts w:ascii="仿宋_GB2312" w:hAnsi="华文中宋" w:eastAsia="仿宋_GB2312"/>
          <w:color w:val="auto"/>
          <w:sz w:val="32"/>
          <w:szCs w:val="32"/>
        </w:rPr>
      </w:pPr>
      <w:r>
        <w:rPr>
          <w:rFonts w:hint="eastAsia" w:ascii="仿宋_GB2312" w:hAnsi="华文中宋" w:eastAsia="仿宋_GB2312"/>
          <w:color w:val="auto"/>
          <w:sz w:val="32"/>
          <w:szCs w:val="32"/>
        </w:rPr>
        <w:t>苏一光数字水准仪  型号：</w:t>
      </w:r>
      <w:r>
        <w:rPr>
          <w:rFonts w:ascii="仿宋_GB2312" w:hAnsi="华文中宋" w:eastAsia="仿宋_GB2312"/>
          <w:color w:val="auto"/>
          <w:sz w:val="32"/>
          <w:szCs w:val="32"/>
        </w:rPr>
        <w:t>DSZ3</w:t>
      </w:r>
      <w:r>
        <w:rPr>
          <w:rFonts w:hint="eastAsia" w:ascii="仿宋_GB2312" w:hAnsi="华文中宋" w:eastAsia="仿宋_GB2312"/>
          <w:color w:val="auto"/>
          <w:sz w:val="32"/>
          <w:szCs w:val="32"/>
        </w:rPr>
        <w:t xml:space="preserve">  </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十四、安全保障</w:t>
      </w:r>
    </w:p>
    <w:p>
      <w:pPr>
        <w:adjustRightInd w:val="0"/>
        <w:snapToGrid w:val="0"/>
        <w:spacing w:line="360" w:lineRule="auto"/>
        <w:ind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为了确保本次大赛的顺利进行，承办学院建立大赛期间相应的安全保障制度，同时由安全保卫、校园环境及卫生医疗保障组执行：</w:t>
      </w:r>
    </w:p>
    <w:p>
      <w:pPr>
        <w:numPr>
          <w:ilvl w:val="0"/>
          <w:numId w:val="2"/>
        </w:numPr>
        <w:adjustRightInd w:val="0"/>
        <w:snapToGrid w:val="0"/>
        <w:spacing w:line="360" w:lineRule="auto"/>
        <w:ind w:left="0"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比赛期间所有进入赛区车辆、人员需凭证入内，并主动向工作人员出示；</w:t>
      </w:r>
    </w:p>
    <w:p>
      <w:pPr>
        <w:numPr>
          <w:ilvl w:val="0"/>
          <w:numId w:val="2"/>
        </w:numPr>
        <w:adjustRightInd w:val="0"/>
        <w:snapToGrid w:val="0"/>
        <w:spacing w:line="360" w:lineRule="auto"/>
        <w:ind w:left="0"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在比赛开始前，选手要认真阅读场地内张贴的《入场须知》和应急疏散图；</w:t>
      </w:r>
    </w:p>
    <w:p>
      <w:pPr>
        <w:numPr>
          <w:ilvl w:val="0"/>
          <w:numId w:val="2"/>
        </w:numPr>
        <w:adjustRightInd w:val="0"/>
        <w:snapToGrid w:val="0"/>
        <w:spacing w:line="360" w:lineRule="auto"/>
        <w:ind w:left="0"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各类人员须严格遵守赛场规则，严禁携带比赛严令禁止的物品入内；</w:t>
      </w:r>
    </w:p>
    <w:p>
      <w:pPr>
        <w:numPr>
          <w:ilvl w:val="0"/>
          <w:numId w:val="2"/>
        </w:numPr>
        <w:adjustRightInd w:val="0"/>
        <w:snapToGrid w:val="0"/>
        <w:spacing w:line="360" w:lineRule="auto"/>
        <w:ind w:left="0"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严禁携带易燃易爆等危险品入内；</w:t>
      </w:r>
    </w:p>
    <w:p>
      <w:pPr>
        <w:numPr>
          <w:ilvl w:val="0"/>
          <w:numId w:val="2"/>
        </w:numPr>
        <w:adjustRightInd w:val="0"/>
        <w:snapToGrid w:val="0"/>
        <w:spacing w:line="360" w:lineRule="auto"/>
        <w:ind w:left="0"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安保人员发现不安全隐患及时通报赛场负责人员。</w:t>
      </w:r>
    </w:p>
    <w:p>
      <w:pPr>
        <w:numPr>
          <w:ilvl w:val="0"/>
          <w:numId w:val="2"/>
        </w:numPr>
        <w:adjustRightInd w:val="0"/>
        <w:snapToGrid w:val="0"/>
        <w:spacing w:line="360" w:lineRule="auto"/>
        <w:ind w:left="0" w:firstLine="640" w:firstLineChars="200"/>
        <w:rPr>
          <w:rFonts w:ascii="仿宋_GB2312" w:hAnsi="华文中宋" w:eastAsia="仿宋_GB2312"/>
          <w:color w:val="auto"/>
          <w:sz w:val="32"/>
          <w:szCs w:val="32"/>
        </w:rPr>
      </w:pPr>
      <w:r>
        <w:rPr>
          <w:rFonts w:hint="eastAsia" w:ascii="仿宋_GB2312" w:hAnsi="华文中宋" w:eastAsia="仿宋_GB2312"/>
          <w:color w:val="auto"/>
          <w:sz w:val="32"/>
          <w:szCs w:val="32"/>
        </w:rPr>
        <w:t>比赛场地严禁吸烟，安保人员不得将证件转借他人。</w:t>
      </w:r>
    </w:p>
    <w:p>
      <w:pPr>
        <w:pStyle w:val="8"/>
        <w:adjustRightInd w:val="0"/>
        <w:snapToGrid w:val="0"/>
        <w:spacing w:line="360" w:lineRule="auto"/>
        <w:ind w:firstLine="640"/>
        <w:rPr>
          <w:rFonts w:ascii="仿宋_GB2312" w:hAnsi="华文中宋" w:eastAsia="仿宋_GB2312"/>
          <w:color w:val="auto"/>
          <w:sz w:val="32"/>
          <w:szCs w:val="32"/>
        </w:rPr>
      </w:pPr>
      <w:r>
        <w:rPr>
          <w:rFonts w:hint="eastAsia" w:ascii="仿宋_GB2312" w:hAnsi="华文中宋" w:eastAsia="仿宋_GB2312"/>
          <w:color w:val="auto"/>
          <w:sz w:val="32"/>
          <w:szCs w:val="32"/>
        </w:rPr>
        <w:t>如果出现安全问题，在安保人员指挥下，迅速按紧急疏散路线撤离现场。</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十五、企业合作意向</w:t>
      </w:r>
    </w:p>
    <w:p>
      <w:pPr>
        <w:pStyle w:val="8"/>
        <w:adjustRightInd w:val="0"/>
        <w:snapToGrid w:val="0"/>
        <w:spacing w:line="360" w:lineRule="auto"/>
        <w:ind w:left="27" w:leftChars="13" w:firstLine="0" w:firstLineChars="0"/>
        <w:rPr>
          <w:rFonts w:ascii="仿宋_GB2312" w:hAnsi="华文中宋" w:eastAsia="仿宋_GB2312"/>
          <w:color w:val="auto"/>
          <w:sz w:val="32"/>
          <w:szCs w:val="32"/>
        </w:rPr>
      </w:pPr>
      <w:r>
        <w:rPr>
          <w:rFonts w:hint="eastAsia" w:ascii="仿宋_GB2312" w:hAnsi="华文中宋" w:eastAsia="仿宋_GB2312"/>
          <w:color w:val="auto"/>
          <w:sz w:val="32"/>
          <w:szCs w:val="32"/>
        </w:rPr>
        <w:t xml:space="preserve">    苏州一光仪器有限公司将向大赛提供比赛备用仪器，并负责将比赛仪器进行调校，提供技术支持团队进行现场技术支持，协助现场组委会人员及裁判顺利完成比赛，并全力支持会务组安排的各项工作，提供经费、人员、比赛用仪器等各项支持。</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十六、经费预算方案</w:t>
      </w:r>
    </w:p>
    <w:p>
      <w:pPr>
        <w:adjustRightInd w:val="0"/>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苏州一光仪器有限公司将提供40万现金作为大赛的赞助，同时提供比赛过程中测量仪器等技术方面的支持与保障。现场服务团队的支持与保障，估计费用约20万，由苏州一光仪器有限公司公司自己承担。竞赛经费来自企业赞助，由主办方自行筹集，专款专用。</w:t>
      </w: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十七、比赛组织与管理</w:t>
      </w:r>
    </w:p>
    <w:p>
      <w:pPr>
        <w:snapToGrid w:val="0"/>
        <w:spacing w:line="560" w:lineRule="exact"/>
        <w:ind w:firstLine="600" w:firstLineChars="200"/>
        <w:rPr>
          <w:rFonts w:hint="eastAsia" w:eastAsia="仿宋_GB2312"/>
          <w:sz w:val="30"/>
          <w:szCs w:val="30"/>
        </w:rPr>
      </w:pPr>
      <w:r>
        <w:rPr>
          <w:rFonts w:hint="eastAsia" w:eastAsia="仿宋_GB2312"/>
          <w:sz w:val="30"/>
          <w:szCs w:val="30"/>
        </w:rPr>
        <w:t>参照《2015年全国职业院校技能大赛组织机构与职能分工》、《2015年全国职业院校技能大赛赛项设备与设施管理办法》、《2015年全国职业院校技能大赛赛项监督与仲裁管理办法》等，由赛项执委会组织赛项专家组。</w:t>
      </w:r>
    </w:p>
    <w:p>
      <w:pPr>
        <w:snapToGrid w:val="0"/>
        <w:spacing w:line="560" w:lineRule="exact"/>
        <w:ind w:firstLine="600" w:firstLineChars="200"/>
        <w:rPr>
          <w:rFonts w:hint="eastAsia" w:eastAsia="仿宋_GB2312"/>
          <w:sz w:val="30"/>
          <w:szCs w:val="30"/>
        </w:rPr>
      </w:pPr>
      <w:r>
        <w:rPr>
          <w:rFonts w:hint="eastAsia" w:eastAsia="仿宋_GB2312"/>
          <w:sz w:val="30"/>
          <w:szCs w:val="30"/>
        </w:rPr>
        <w:t>1.赛项专家组：进行赛项整体策划。主要职责：形成《竞赛规程》和《竞赛实施方案》、遴选专家团队、遴选裁判团队、对竞赛实施进行整体掌握等。</w:t>
      </w:r>
    </w:p>
    <w:p>
      <w:pPr>
        <w:snapToGrid w:val="0"/>
        <w:spacing w:line="560" w:lineRule="exact"/>
        <w:ind w:firstLine="600" w:firstLineChars="200"/>
        <w:rPr>
          <w:rFonts w:hint="eastAsia" w:eastAsia="仿宋_GB2312"/>
          <w:sz w:val="30"/>
          <w:szCs w:val="30"/>
        </w:rPr>
      </w:pPr>
      <w:r>
        <w:rPr>
          <w:rFonts w:hint="eastAsia" w:eastAsia="仿宋_GB2312"/>
          <w:sz w:val="30"/>
          <w:szCs w:val="30"/>
        </w:rPr>
        <w:t>2.企业进行赛项设备支撑、技术服务等。主要职责：提供竞赛设备（含备品、备件和耗材）、竞赛技术服务等。</w:t>
      </w:r>
    </w:p>
    <w:p>
      <w:pPr>
        <w:adjustRightInd w:val="0"/>
        <w:snapToGrid w:val="0"/>
        <w:spacing w:line="360" w:lineRule="auto"/>
        <w:ind w:firstLine="627" w:firstLineChars="196"/>
        <w:rPr>
          <w:rFonts w:ascii="仿宋_GB2312" w:hAnsi="华文中宋" w:eastAsia="仿宋_GB2312"/>
          <w:color w:val="auto"/>
          <w:sz w:val="32"/>
          <w:szCs w:val="32"/>
        </w:rPr>
      </w:pPr>
      <w:r>
        <w:rPr>
          <w:rFonts w:hint="eastAsia" w:eastAsia="仿宋_GB2312"/>
          <w:sz w:val="30"/>
          <w:szCs w:val="30"/>
        </w:rPr>
        <w:t>3.承办院校：进行赛项主体实施。主要职责：提供竞赛场地和配套场地、配合赛务组织、参赛队住宿和饮食、志愿者服务等。</w:t>
      </w:r>
      <w:bookmarkStart w:id="0" w:name="_GoBack"/>
      <w:bookmarkEnd w:id="0"/>
    </w:p>
    <w:p>
      <w:pPr>
        <w:snapToGrid w:val="0"/>
        <w:spacing w:line="560" w:lineRule="exact"/>
        <w:ind w:firstLine="600" w:firstLineChars="200"/>
        <w:rPr>
          <w:rFonts w:hint="eastAsia" w:ascii="Arial Narrow" w:hAnsi="Arial Narrow" w:eastAsia="仿宋_GB2312" w:cs="Arial"/>
          <w:b/>
          <w:color w:val="auto"/>
          <w:sz w:val="30"/>
          <w:szCs w:val="30"/>
        </w:rPr>
      </w:pPr>
      <w:r>
        <w:rPr>
          <w:rFonts w:ascii="Arial Narrow" w:hAnsi="Arial Narrow" w:eastAsia="仿宋_GB2312" w:cs="Arial"/>
          <w:b/>
          <w:color w:val="auto"/>
          <w:sz w:val="30"/>
          <w:szCs w:val="30"/>
        </w:rPr>
        <w:t>十八、教学资源转化建设方案</w:t>
      </w:r>
    </w:p>
    <w:p>
      <w:pPr>
        <w:snapToGrid w:val="0"/>
        <w:spacing w:line="560" w:lineRule="exact"/>
        <w:ind w:firstLine="600" w:firstLineChars="200"/>
        <w:rPr>
          <w:rFonts w:hint="eastAsia" w:ascii="仿宋_GB2312" w:hAnsi="Arial Narrow" w:eastAsia="仿宋_GB2312" w:cs="Arial"/>
          <w:color w:val="auto"/>
          <w:sz w:val="30"/>
          <w:szCs w:val="30"/>
        </w:rPr>
      </w:pPr>
      <w:r>
        <w:rPr>
          <w:rFonts w:hint="eastAsia" w:ascii="仿宋_GB2312" w:hAnsi="Arial Narrow" w:eastAsia="仿宋_GB2312" w:cs="Arial"/>
          <w:color w:val="auto"/>
          <w:sz w:val="30"/>
          <w:szCs w:val="30"/>
        </w:rPr>
        <w:t>历次国赛赛后，赛项执委会与承办院校一起，共同组织专家团队开发了多种教学资源，包括样题和视频等，目前还在持续增加中。</w:t>
      </w:r>
      <w:r>
        <w:rPr>
          <w:rFonts w:hint="eastAsia" w:ascii="仿宋_GB2312" w:hAnsi="GB2312" w:eastAsia="仿宋_GB2312" w:cs="Arial"/>
          <w:color w:val="auto"/>
          <w:sz w:val="30"/>
          <w:szCs w:val="30"/>
        </w:rPr>
        <w:br/>
      </w:r>
      <w:r>
        <w:rPr>
          <w:rFonts w:hint="eastAsia" w:ascii="仿宋_GB2312" w:hAnsi="Arial Narrow" w:eastAsia="仿宋_GB2312" w:cs="Arial"/>
          <w:color w:val="auto"/>
          <w:sz w:val="30"/>
          <w:szCs w:val="30"/>
        </w:rPr>
        <w:t xml:space="preserve">    为进一步加强技能大赛对职业教育教学改革与专业发展的引领作用，拓展大赛成果在教学过程中的推广和应用，本赛项教学资源转化建设方案制定如下：</w:t>
      </w:r>
    </w:p>
    <w:p>
      <w:pPr>
        <w:snapToGrid w:val="0"/>
        <w:spacing w:line="560" w:lineRule="exact"/>
        <w:ind w:firstLine="600" w:firstLineChars="200"/>
        <w:rPr>
          <w:rFonts w:hint="eastAsia" w:ascii="仿宋_GB2312" w:hAnsi="Arial Narrow" w:eastAsia="仿宋_GB2312" w:cs="Arial"/>
          <w:color w:val="auto"/>
          <w:sz w:val="30"/>
          <w:szCs w:val="30"/>
        </w:rPr>
      </w:pPr>
      <w:r>
        <w:rPr>
          <w:rFonts w:hint="eastAsia" w:ascii="仿宋_GB2312" w:hAnsi="GB2312" w:eastAsia="仿宋_GB2312" w:cs="Arial"/>
          <w:color w:val="auto"/>
          <w:sz w:val="30"/>
          <w:szCs w:val="30"/>
        </w:rPr>
        <w:t>1.</w:t>
      </w:r>
      <w:r>
        <w:rPr>
          <w:rFonts w:hint="eastAsia" w:ascii="仿宋_GB2312" w:hAnsi="Arial Narrow" w:eastAsia="仿宋_GB2312" w:cs="Arial"/>
          <w:color w:val="auto"/>
          <w:sz w:val="30"/>
          <w:szCs w:val="30"/>
        </w:rPr>
        <w:t>由赛项执委会、承办院校共同组织专家团队开展并推进本赛项竞赛资源转化工作。于赛后</w:t>
      </w:r>
      <w:r>
        <w:rPr>
          <w:rFonts w:hint="eastAsia" w:ascii="仿宋_GB2312" w:hAnsi="GB2312" w:eastAsia="仿宋_GB2312" w:cs="Arial"/>
          <w:color w:val="auto"/>
          <w:sz w:val="30"/>
          <w:szCs w:val="30"/>
        </w:rPr>
        <w:t>30</w:t>
      </w:r>
      <w:r>
        <w:rPr>
          <w:rFonts w:hint="eastAsia" w:ascii="仿宋_GB2312" w:hAnsi="Arial Narrow" w:eastAsia="仿宋_GB2312" w:cs="Arial"/>
          <w:color w:val="auto"/>
          <w:sz w:val="30"/>
          <w:szCs w:val="30"/>
        </w:rPr>
        <w:t>日内向大赛执委会办公室提交具体的资源转化方案，半年内完成资源转化工作。</w:t>
      </w:r>
    </w:p>
    <w:p>
      <w:pPr>
        <w:snapToGrid w:val="0"/>
        <w:spacing w:line="560" w:lineRule="exact"/>
        <w:ind w:firstLine="600" w:firstLineChars="200"/>
        <w:rPr>
          <w:rFonts w:hint="eastAsia" w:ascii="仿宋_GB2312" w:hAnsi="Arial Narrow" w:eastAsia="仿宋_GB2312" w:cs="Arial"/>
          <w:color w:val="auto"/>
          <w:sz w:val="30"/>
          <w:szCs w:val="30"/>
        </w:rPr>
      </w:pPr>
      <w:r>
        <w:rPr>
          <w:rFonts w:hint="eastAsia" w:ascii="仿宋_GB2312" w:hAnsi="GB2312" w:eastAsia="仿宋_GB2312" w:cs="Arial"/>
          <w:color w:val="auto"/>
          <w:sz w:val="30"/>
          <w:szCs w:val="30"/>
        </w:rPr>
        <w:t>2.</w:t>
      </w:r>
      <w:r>
        <w:rPr>
          <w:rFonts w:hint="eastAsia" w:ascii="仿宋_GB2312" w:hAnsi="Arial Narrow" w:eastAsia="仿宋_GB2312" w:cs="Arial"/>
          <w:color w:val="auto"/>
          <w:sz w:val="30"/>
          <w:szCs w:val="30"/>
        </w:rPr>
        <w:t>赛项资源转化的内容包括竞赛已公布的样题；竞赛技能考核评分案例；考核环境描述；竞赛过程音视频记录；评委、裁判、专家点评；优秀选手、指导教师访谈等。</w:t>
      </w:r>
    </w:p>
    <w:p>
      <w:pPr>
        <w:snapToGrid w:val="0"/>
        <w:spacing w:line="560" w:lineRule="exact"/>
        <w:ind w:firstLine="600" w:firstLineChars="200"/>
        <w:rPr>
          <w:rFonts w:hint="eastAsia" w:ascii="仿宋_GB2312" w:hAnsi="Arial Narrow" w:eastAsia="仿宋_GB2312" w:cs="Arial"/>
          <w:color w:val="auto"/>
          <w:sz w:val="30"/>
          <w:szCs w:val="30"/>
        </w:rPr>
      </w:pPr>
      <w:r>
        <w:rPr>
          <w:rFonts w:hint="eastAsia" w:ascii="仿宋_GB2312" w:hAnsi="GB2312" w:eastAsia="仿宋_GB2312" w:cs="Arial"/>
          <w:color w:val="auto"/>
          <w:sz w:val="30"/>
          <w:szCs w:val="30"/>
        </w:rPr>
        <w:t>3.</w:t>
      </w:r>
      <w:r>
        <w:rPr>
          <w:rFonts w:hint="eastAsia" w:ascii="仿宋_GB2312" w:hAnsi="Arial Narrow" w:eastAsia="仿宋_GB2312" w:cs="Arial"/>
          <w:color w:val="auto"/>
          <w:sz w:val="30"/>
          <w:szCs w:val="30"/>
        </w:rPr>
        <w:t>技术展现形式包括文本文档、演示文稿、视频文件、</w:t>
      </w:r>
      <w:r>
        <w:rPr>
          <w:rFonts w:hint="eastAsia" w:ascii="仿宋_GB2312" w:hAnsi="GB2312" w:eastAsia="仿宋_GB2312" w:cs="Arial"/>
          <w:color w:val="auto"/>
          <w:sz w:val="30"/>
          <w:szCs w:val="30"/>
        </w:rPr>
        <w:t>Flash</w:t>
      </w:r>
      <w:r>
        <w:rPr>
          <w:rFonts w:hint="eastAsia" w:ascii="仿宋_GB2312" w:hAnsi="Arial Narrow" w:eastAsia="仿宋_GB2312" w:cs="Arial"/>
          <w:color w:val="auto"/>
          <w:sz w:val="30"/>
          <w:szCs w:val="30"/>
        </w:rPr>
        <w:t>文件、图形（图像）素材和网页型资源等，并按照大赛指定技术标准制作。</w:t>
      </w:r>
    </w:p>
    <w:p>
      <w:pPr>
        <w:snapToGrid w:val="0"/>
        <w:spacing w:line="560" w:lineRule="exact"/>
        <w:ind w:firstLine="600" w:firstLineChars="200"/>
        <w:rPr>
          <w:rFonts w:hint="eastAsia" w:ascii="仿宋_GB2312" w:hAnsi="Arial Narrow" w:eastAsia="仿宋_GB2312" w:cs="Arial"/>
          <w:color w:val="auto"/>
          <w:sz w:val="30"/>
          <w:szCs w:val="30"/>
        </w:rPr>
      </w:pPr>
      <w:r>
        <w:rPr>
          <w:rFonts w:hint="eastAsia" w:ascii="仿宋_GB2312" w:hAnsi="GB2312" w:eastAsia="仿宋_GB2312" w:cs="Arial"/>
          <w:color w:val="auto"/>
          <w:sz w:val="30"/>
          <w:szCs w:val="30"/>
        </w:rPr>
        <w:t>4.</w:t>
      </w:r>
      <w:r>
        <w:rPr>
          <w:rFonts w:hint="eastAsia" w:ascii="仿宋_GB2312" w:hAnsi="Arial Narrow" w:eastAsia="仿宋_GB2312" w:cs="Arial"/>
          <w:color w:val="auto"/>
          <w:sz w:val="30"/>
          <w:szCs w:val="30"/>
        </w:rPr>
        <w:t>赛项资源转化成果标准要求：符合行业标准，契合课程标准，突出技能特色，展现竞赛优势，形成满足职业教育教学需求、体现先进教学模式、反映职业教育先进水平的共享性职业教育教学资源。</w:t>
      </w:r>
    </w:p>
    <w:p>
      <w:pPr>
        <w:snapToGrid w:val="0"/>
        <w:spacing w:line="560" w:lineRule="exact"/>
        <w:ind w:firstLine="600" w:firstLineChars="200"/>
        <w:rPr>
          <w:rFonts w:hint="eastAsia" w:ascii="仿宋_GB2312" w:hAnsi="GB2312" w:eastAsia="仿宋_GB2312" w:cs="Arial"/>
          <w:color w:val="auto"/>
          <w:sz w:val="30"/>
          <w:szCs w:val="30"/>
        </w:rPr>
      </w:pPr>
      <w:r>
        <w:rPr>
          <w:rFonts w:hint="eastAsia" w:ascii="仿宋_GB2312" w:hAnsi="GB2312" w:eastAsia="仿宋_GB2312" w:cs="Arial"/>
          <w:color w:val="auto"/>
          <w:sz w:val="30"/>
          <w:szCs w:val="30"/>
        </w:rPr>
        <w:t>5.</w:t>
      </w:r>
      <w:r>
        <w:rPr>
          <w:rFonts w:hint="eastAsia" w:ascii="仿宋_GB2312" w:hAnsi="Arial Narrow" w:eastAsia="仿宋_GB2312" w:cs="Arial"/>
          <w:color w:val="auto"/>
          <w:sz w:val="30"/>
          <w:szCs w:val="30"/>
        </w:rPr>
        <w:t>赛项资源转化成果由大赛执委会统一实施，会同赛项承办单位、赛项有关专家、高等教育出版社等出版单位，编辑出版有关赛项试题库、岗位典型操作流程等精品资源。</w:t>
      </w:r>
    </w:p>
    <w:p>
      <w:pPr>
        <w:snapToGrid w:val="0"/>
        <w:spacing w:line="560" w:lineRule="exact"/>
        <w:ind w:firstLine="600" w:firstLineChars="200"/>
        <w:rPr>
          <w:rFonts w:ascii="Arial Narrow" w:hAnsi="Arial Narrow" w:eastAsia="仿宋_GB2312" w:cs="Arial"/>
          <w:color w:val="auto"/>
          <w:sz w:val="30"/>
          <w:szCs w:val="30"/>
        </w:rPr>
      </w:pP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十九、筹备工作进度时间表</w:t>
      </w:r>
    </w:p>
    <w:p>
      <w:pPr>
        <w:snapToGrid w:val="0"/>
        <w:spacing w:line="560" w:lineRule="exact"/>
        <w:ind w:firstLine="420"/>
        <w:rPr>
          <w:rFonts w:ascii="Arial Narrow" w:hAnsi="Arial Narrow" w:eastAsia="仿宋_GB2312" w:cs="Arial"/>
          <w:color w:val="auto"/>
          <w:sz w:val="30"/>
          <w:szCs w:val="30"/>
        </w:rPr>
      </w:pPr>
      <w:r>
        <w:rPr>
          <w:rFonts w:hint="eastAsia" w:ascii="Arial Narrow" w:hAnsi="Arial Narrow" w:eastAsia="仿宋_GB2312" w:cs="Arial"/>
          <w:color w:val="auto"/>
          <w:sz w:val="30"/>
          <w:szCs w:val="30"/>
        </w:rPr>
        <w:t xml:space="preserve"> </w:t>
      </w:r>
      <w:r>
        <w:rPr>
          <w:rFonts w:ascii="Arial Narrow" w:hAnsi="Arial Narrow" w:eastAsia="仿宋_GB2312" w:cs="Arial"/>
          <w:color w:val="auto"/>
          <w:sz w:val="30"/>
          <w:szCs w:val="30"/>
        </w:rPr>
        <w:t>依据赛项筹备工作，制定筹备工作时间进度表。</w:t>
      </w:r>
    </w:p>
    <w:tbl>
      <w:tblPr>
        <w:tblStyle w:val="7"/>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5562"/>
        <w:gridCol w:w="2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阶段</w:t>
            </w:r>
          </w:p>
        </w:tc>
        <w:tc>
          <w:tcPr>
            <w:tcW w:w="5562"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工作内容</w:t>
            </w:r>
          </w:p>
        </w:tc>
        <w:tc>
          <w:tcPr>
            <w:tcW w:w="2280"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4" w:hRule="atLeast"/>
          <w:jc w:val="center"/>
        </w:trPr>
        <w:tc>
          <w:tcPr>
            <w:tcW w:w="1511"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第一阶段</w:t>
            </w:r>
          </w:p>
        </w:tc>
        <w:tc>
          <w:tcPr>
            <w:tcW w:w="5562" w:type="dxa"/>
            <w:vAlign w:val="center"/>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成立项目申报工作小组，组建竞赛项目设计团队，并详细分工，明确工作职责</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2015．12．15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第二阶段</w:t>
            </w:r>
          </w:p>
        </w:tc>
        <w:tc>
          <w:tcPr>
            <w:tcW w:w="5562" w:type="dxa"/>
            <w:vAlign w:val="top"/>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组织人员填写“竞赛项目申报书”，并组织专家进行项目可行性分析、项目评估</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2015．12.20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第三阶段</w:t>
            </w:r>
          </w:p>
        </w:tc>
        <w:tc>
          <w:tcPr>
            <w:tcW w:w="5562" w:type="dxa"/>
            <w:vAlign w:val="top"/>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经费预算，联系合作企业，商谈合作事宜</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2015.12.25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第四阶段</w:t>
            </w:r>
          </w:p>
        </w:tc>
        <w:tc>
          <w:tcPr>
            <w:tcW w:w="5562" w:type="dxa"/>
            <w:vAlign w:val="top"/>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联系合作学校，商谈合作事宜</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2015.12.28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第五阶段</w:t>
            </w:r>
          </w:p>
        </w:tc>
        <w:tc>
          <w:tcPr>
            <w:tcW w:w="5562" w:type="dxa"/>
            <w:vAlign w:val="top"/>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组织人员设计竞赛规程，填写“竞赛项目规程概要”</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第六阶段</w:t>
            </w:r>
          </w:p>
        </w:tc>
        <w:tc>
          <w:tcPr>
            <w:tcW w:w="5562" w:type="dxa"/>
            <w:vAlign w:val="top"/>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组织报名结束</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2016.3.15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11" w:type="dxa"/>
            <w:vAlign w:val="top"/>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第七阶段</w:t>
            </w:r>
          </w:p>
        </w:tc>
        <w:tc>
          <w:tcPr>
            <w:tcW w:w="5562" w:type="dxa"/>
            <w:vAlign w:val="top"/>
          </w:tcPr>
          <w:p>
            <w:pPr>
              <w:adjustRightInd w:val="0"/>
              <w:snapToGrid w:val="0"/>
              <w:spacing w:line="460" w:lineRule="exact"/>
              <w:rPr>
                <w:rFonts w:ascii="仿宋_GB2312" w:hAnsi="华文中宋" w:eastAsia="仿宋_GB2312"/>
                <w:color w:val="auto"/>
                <w:sz w:val="32"/>
                <w:szCs w:val="32"/>
              </w:rPr>
            </w:pPr>
            <w:r>
              <w:rPr>
                <w:rFonts w:hint="eastAsia" w:ascii="仿宋_GB2312" w:hAnsi="华文中宋" w:eastAsia="仿宋_GB2312"/>
                <w:color w:val="auto"/>
                <w:sz w:val="32"/>
                <w:szCs w:val="32"/>
              </w:rPr>
              <w:t>样题发布</w:t>
            </w:r>
          </w:p>
        </w:tc>
        <w:tc>
          <w:tcPr>
            <w:tcW w:w="2280" w:type="dxa"/>
            <w:vAlign w:val="center"/>
          </w:tcPr>
          <w:p>
            <w:pPr>
              <w:adjustRightInd w:val="0"/>
              <w:snapToGrid w:val="0"/>
              <w:spacing w:line="460" w:lineRule="exact"/>
              <w:jc w:val="center"/>
              <w:rPr>
                <w:rFonts w:ascii="仿宋_GB2312" w:hAnsi="华文中宋" w:eastAsia="仿宋_GB2312"/>
                <w:color w:val="auto"/>
                <w:sz w:val="32"/>
                <w:szCs w:val="32"/>
              </w:rPr>
            </w:pPr>
            <w:r>
              <w:rPr>
                <w:rFonts w:hint="eastAsia" w:ascii="仿宋_GB2312" w:hAnsi="华文中宋" w:eastAsia="仿宋_GB2312"/>
                <w:color w:val="auto"/>
                <w:sz w:val="32"/>
                <w:szCs w:val="32"/>
              </w:rPr>
              <w:t>2016.3.30</w:t>
            </w:r>
          </w:p>
        </w:tc>
      </w:tr>
    </w:tbl>
    <w:p>
      <w:pPr>
        <w:snapToGrid w:val="0"/>
        <w:spacing w:line="560" w:lineRule="exact"/>
        <w:rPr>
          <w:rFonts w:ascii="Arial Narrow" w:hAnsi="Arial Narrow" w:eastAsia="仿宋_GB2312" w:cs="Arial"/>
          <w:b/>
          <w:color w:val="auto"/>
          <w:sz w:val="30"/>
          <w:szCs w:val="30"/>
        </w:rPr>
      </w:pPr>
      <w:r>
        <w:rPr>
          <w:rFonts w:ascii="Arial Narrow" w:hAnsi="Arial Narrow" w:eastAsia="仿宋_GB2312" w:cs="Arial"/>
          <w:b/>
          <w:color w:val="auto"/>
          <w:sz w:val="30"/>
          <w:szCs w:val="30"/>
        </w:rPr>
        <w:t xml:space="preserve">  二十、裁判人员建议</w:t>
      </w:r>
    </w:p>
    <w:p>
      <w:pPr>
        <w:adjustRightInd w:val="0"/>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受住房和城乡建设部人事司委托，由中国建设教育协会相关工作人员担任筹备工作。裁判人员通过全国遴选确定。</w:t>
      </w:r>
    </w:p>
    <w:tbl>
      <w:tblPr>
        <w:tblStyle w:val="7"/>
        <w:tblpPr w:leftFromText="180" w:rightFromText="180" w:vertAnchor="text" w:horzAnchor="margin" w:tblpXSpec="left" w:tblpY="199"/>
        <w:tblW w:w="833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985"/>
        <w:gridCol w:w="2551"/>
        <w:gridCol w:w="8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59" w:type="dxa"/>
            <w:tcBorders>
              <w:top w:val="single" w:color="auto" w:sz="8" w:space="0"/>
            </w:tcBorders>
            <w:vAlign w:val="center"/>
          </w:tcPr>
          <w:p>
            <w:pPr>
              <w:adjustRightInd w:val="0"/>
              <w:snapToGrid w:val="0"/>
              <w:jc w:val="center"/>
              <w:rPr>
                <w:rFonts w:ascii="仿宋_GB2312" w:hAnsi="仿宋" w:eastAsia="仿宋_GB2312" w:cs="Arial"/>
                <w:b/>
                <w:color w:val="auto"/>
                <w:sz w:val="24"/>
                <w:szCs w:val="24"/>
              </w:rPr>
            </w:pPr>
            <w:r>
              <w:rPr>
                <w:rFonts w:ascii="仿宋_GB2312" w:hAnsi="仿宋" w:eastAsia="仿宋_GB2312" w:cs="Arial"/>
                <w:b/>
                <w:color w:val="auto"/>
                <w:sz w:val="24"/>
                <w:szCs w:val="24"/>
              </w:rPr>
              <w:t>序号</w:t>
            </w:r>
          </w:p>
        </w:tc>
        <w:tc>
          <w:tcPr>
            <w:tcW w:w="1984" w:type="dxa"/>
            <w:tcBorders>
              <w:top w:val="single" w:color="auto" w:sz="8" w:space="0"/>
            </w:tcBorders>
            <w:vAlign w:val="center"/>
          </w:tcPr>
          <w:p>
            <w:pPr>
              <w:adjustRightInd w:val="0"/>
              <w:snapToGrid w:val="0"/>
              <w:jc w:val="center"/>
              <w:rPr>
                <w:rFonts w:ascii="仿宋_GB2312" w:hAnsi="仿宋" w:eastAsia="仿宋_GB2312" w:cs="Arial"/>
                <w:b/>
                <w:color w:val="auto"/>
                <w:sz w:val="24"/>
                <w:szCs w:val="24"/>
              </w:rPr>
            </w:pPr>
            <w:r>
              <w:rPr>
                <w:rFonts w:ascii="仿宋_GB2312" w:hAnsi="仿宋" w:eastAsia="仿宋_GB2312" w:cs="Arial"/>
                <w:b/>
                <w:color w:val="auto"/>
                <w:sz w:val="24"/>
                <w:szCs w:val="24"/>
              </w:rPr>
              <w:t>专业技术方向</w:t>
            </w:r>
          </w:p>
        </w:tc>
        <w:tc>
          <w:tcPr>
            <w:tcW w:w="1985" w:type="dxa"/>
            <w:tcBorders>
              <w:top w:val="single" w:color="auto" w:sz="8" w:space="0"/>
            </w:tcBorders>
            <w:vAlign w:val="center"/>
          </w:tcPr>
          <w:p>
            <w:pPr>
              <w:adjustRightInd w:val="0"/>
              <w:snapToGrid w:val="0"/>
              <w:jc w:val="center"/>
              <w:rPr>
                <w:rFonts w:ascii="仿宋_GB2312" w:hAnsi="仿宋" w:eastAsia="仿宋_GB2312" w:cs="Arial"/>
                <w:b/>
                <w:color w:val="auto"/>
                <w:sz w:val="24"/>
                <w:szCs w:val="24"/>
              </w:rPr>
            </w:pPr>
            <w:r>
              <w:rPr>
                <w:rFonts w:ascii="仿宋_GB2312" w:hAnsi="仿宋" w:eastAsia="仿宋_GB2312" w:cs="Arial"/>
                <w:b/>
                <w:color w:val="auto"/>
                <w:sz w:val="24"/>
                <w:szCs w:val="24"/>
              </w:rPr>
              <w:t>知识能力要求</w:t>
            </w:r>
          </w:p>
        </w:tc>
        <w:tc>
          <w:tcPr>
            <w:tcW w:w="2551" w:type="dxa"/>
            <w:tcBorders>
              <w:top w:val="single" w:color="auto" w:sz="8" w:space="0"/>
            </w:tcBorders>
            <w:vAlign w:val="center"/>
          </w:tcPr>
          <w:p>
            <w:pPr>
              <w:adjustRightInd w:val="0"/>
              <w:snapToGrid w:val="0"/>
              <w:jc w:val="center"/>
              <w:rPr>
                <w:rFonts w:ascii="仿宋_GB2312" w:hAnsi="仿宋" w:eastAsia="仿宋_GB2312" w:cs="Arial"/>
                <w:b/>
                <w:color w:val="auto"/>
                <w:sz w:val="24"/>
                <w:szCs w:val="24"/>
              </w:rPr>
            </w:pPr>
            <w:r>
              <w:rPr>
                <w:rFonts w:ascii="仿宋_GB2312" w:hAnsi="仿宋" w:eastAsia="仿宋_GB2312" w:cs="Arial"/>
                <w:b/>
                <w:color w:val="auto"/>
                <w:sz w:val="24"/>
                <w:szCs w:val="24"/>
              </w:rPr>
              <w:t>专业技术职称</w:t>
            </w:r>
          </w:p>
          <w:p>
            <w:pPr>
              <w:adjustRightInd w:val="0"/>
              <w:snapToGrid w:val="0"/>
              <w:jc w:val="center"/>
              <w:rPr>
                <w:rFonts w:ascii="仿宋_GB2312" w:hAnsi="仿宋" w:eastAsia="仿宋_GB2312" w:cs="Arial"/>
                <w:b/>
                <w:color w:val="auto"/>
                <w:sz w:val="24"/>
                <w:szCs w:val="24"/>
              </w:rPr>
            </w:pPr>
            <w:r>
              <w:rPr>
                <w:rFonts w:ascii="仿宋_GB2312" w:hAnsi="仿宋" w:eastAsia="仿宋_GB2312" w:cs="Arial"/>
                <w:b/>
                <w:color w:val="auto"/>
                <w:sz w:val="24"/>
                <w:szCs w:val="24"/>
              </w:rPr>
              <w:t>（职业资格等级）</w:t>
            </w:r>
          </w:p>
        </w:tc>
        <w:tc>
          <w:tcPr>
            <w:tcW w:w="851" w:type="dxa"/>
            <w:tcBorders>
              <w:top w:val="single" w:color="auto" w:sz="8" w:space="0"/>
            </w:tcBorders>
            <w:vAlign w:val="top"/>
          </w:tcPr>
          <w:p>
            <w:pPr>
              <w:adjustRightInd w:val="0"/>
              <w:snapToGrid w:val="0"/>
              <w:jc w:val="center"/>
              <w:rPr>
                <w:rFonts w:ascii="仿宋_GB2312" w:hAnsi="仿宋" w:eastAsia="仿宋_GB2312" w:cs="Arial"/>
                <w:b/>
                <w:color w:val="auto"/>
                <w:sz w:val="24"/>
                <w:szCs w:val="24"/>
              </w:rPr>
            </w:pPr>
            <w:r>
              <w:rPr>
                <w:rFonts w:ascii="仿宋_GB2312" w:hAnsi="仿宋" w:eastAsia="仿宋_GB2312" w:cs="Arial"/>
                <w:b/>
                <w:color w:val="auto"/>
                <w:sz w:val="24"/>
                <w:szCs w:val="24"/>
              </w:rPr>
              <w:t>人数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59" w:type="dxa"/>
            <w:vAlign w:val="center"/>
          </w:tcPr>
          <w:p>
            <w:pPr>
              <w:adjustRightInd w:val="0"/>
              <w:snapToGrid w:val="0"/>
              <w:jc w:val="center"/>
              <w:rPr>
                <w:rFonts w:hint="eastAsia" w:ascii="Arial Narrow" w:hAnsi="Arial Narrow" w:eastAsia="仿宋_GB2312"/>
                <w:color w:val="auto"/>
                <w:sz w:val="24"/>
                <w:lang w:val="en-US" w:eastAsia="zh-CN"/>
              </w:rPr>
            </w:pPr>
            <w:r>
              <w:rPr>
                <w:rFonts w:hint="eastAsia" w:ascii="Arial Narrow" w:hAnsi="Arial Narrow" w:eastAsia="仿宋_GB2312"/>
                <w:color w:val="auto"/>
                <w:sz w:val="24"/>
                <w:lang w:val="en-US" w:eastAsia="zh-CN"/>
              </w:rPr>
              <w:t>1</w:t>
            </w:r>
          </w:p>
        </w:tc>
        <w:tc>
          <w:tcPr>
            <w:tcW w:w="1984" w:type="dxa"/>
            <w:vAlign w:val="center"/>
          </w:tcPr>
          <w:p>
            <w:pPr>
              <w:adjustRightInd w:val="0"/>
              <w:snapToGrid w:val="0"/>
              <w:rPr>
                <w:rFonts w:hint="eastAsia" w:ascii="Arial Narrow" w:hAnsi="Arial Narrow" w:eastAsia="仿宋_GB2312"/>
                <w:color w:val="auto"/>
                <w:sz w:val="24"/>
                <w:lang w:eastAsia="zh-CN"/>
              </w:rPr>
            </w:pPr>
            <w:r>
              <w:rPr>
                <w:rFonts w:hint="eastAsia" w:ascii="Arial Narrow" w:hAnsi="Arial Narrow" w:eastAsia="仿宋_GB2312"/>
                <w:color w:val="auto"/>
                <w:sz w:val="24"/>
                <w:lang w:eastAsia="zh-CN"/>
              </w:rPr>
              <w:t>工程测量、</w:t>
            </w:r>
            <w:r>
              <w:rPr>
                <w:rFonts w:hint="eastAsia" w:ascii="Arial Narrow" w:hAnsi="Arial Narrow" w:eastAsia="仿宋_GB2312"/>
                <w:color w:val="auto"/>
                <w:sz w:val="24"/>
                <w:lang w:val="en-US" w:eastAsia="zh-CN"/>
              </w:rPr>
              <w:t>测绘工程</w:t>
            </w:r>
          </w:p>
        </w:tc>
        <w:tc>
          <w:tcPr>
            <w:tcW w:w="1985" w:type="dxa"/>
            <w:vAlign w:val="top"/>
          </w:tcPr>
          <w:p>
            <w:pPr>
              <w:adjustRightInd w:val="0"/>
              <w:snapToGrid w:val="0"/>
              <w:jc w:val="center"/>
              <w:rPr>
                <w:rFonts w:hint="eastAsia" w:ascii="Arial Narrow" w:hAnsi="Arial Narrow" w:eastAsia="仿宋_GB2312"/>
                <w:color w:val="auto"/>
                <w:sz w:val="24"/>
                <w:lang w:eastAsia="zh-CN"/>
              </w:rPr>
            </w:pPr>
            <w:r>
              <w:rPr>
                <w:rFonts w:hint="eastAsia" w:ascii="Arial Narrow" w:hAnsi="Arial Narrow" w:eastAsia="仿宋_GB2312"/>
                <w:color w:val="auto"/>
                <w:sz w:val="24"/>
                <w:lang w:eastAsia="zh-CN"/>
              </w:rPr>
              <w:t>实际测绘经验</w:t>
            </w:r>
          </w:p>
        </w:tc>
        <w:tc>
          <w:tcPr>
            <w:tcW w:w="2551" w:type="dxa"/>
            <w:vAlign w:val="center"/>
          </w:tcPr>
          <w:p>
            <w:pPr>
              <w:adjustRightInd w:val="0"/>
              <w:snapToGrid w:val="0"/>
              <w:jc w:val="center"/>
              <w:rPr>
                <w:rFonts w:hint="eastAsia" w:ascii="Arial Narrow" w:hAnsi="Arial Narrow" w:eastAsia="仿宋_GB2312"/>
                <w:color w:val="auto"/>
                <w:sz w:val="24"/>
                <w:lang w:val="en-US" w:eastAsia="zh-CN"/>
              </w:rPr>
            </w:pPr>
            <w:r>
              <w:rPr>
                <w:rFonts w:hint="eastAsia" w:ascii="Arial Narrow" w:hAnsi="Arial Narrow" w:eastAsia="仿宋_GB2312"/>
                <w:color w:val="auto"/>
                <w:sz w:val="24"/>
                <w:lang w:val="en-US" w:eastAsia="zh-CN"/>
              </w:rPr>
              <w:t>中级 副高</w:t>
            </w:r>
          </w:p>
        </w:tc>
        <w:tc>
          <w:tcPr>
            <w:tcW w:w="851" w:type="dxa"/>
            <w:vAlign w:val="top"/>
          </w:tcPr>
          <w:p>
            <w:pPr>
              <w:adjustRightInd w:val="0"/>
              <w:snapToGrid w:val="0"/>
              <w:jc w:val="center"/>
              <w:rPr>
                <w:rFonts w:hint="eastAsia" w:ascii="Arial Narrow" w:hAnsi="Arial Narrow" w:eastAsia="仿宋_GB2312"/>
                <w:color w:val="auto"/>
                <w:sz w:val="24"/>
                <w:lang w:val="en-US" w:eastAsia="zh-CN"/>
              </w:rPr>
            </w:pPr>
            <w:r>
              <w:rPr>
                <w:rFonts w:hint="eastAsia" w:ascii="Arial Narrow" w:hAnsi="Arial Narrow" w:eastAsia="仿宋_GB2312"/>
                <w:color w:val="auto"/>
                <w:sz w:val="24"/>
                <w:lang w:val="en-US" w:eastAsia="zh-CN"/>
              </w:rPr>
              <w:t>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59" w:type="dxa"/>
            <w:vAlign w:val="center"/>
          </w:tcPr>
          <w:p>
            <w:pPr>
              <w:adjustRightInd w:val="0"/>
              <w:snapToGrid w:val="0"/>
              <w:jc w:val="center"/>
              <w:rPr>
                <w:rFonts w:ascii="Arial Narrow" w:hAnsi="Arial Narrow" w:eastAsia="仿宋_GB2312"/>
                <w:color w:val="auto"/>
                <w:sz w:val="24"/>
              </w:rPr>
            </w:pPr>
          </w:p>
        </w:tc>
        <w:tc>
          <w:tcPr>
            <w:tcW w:w="1984" w:type="dxa"/>
            <w:vAlign w:val="center"/>
          </w:tcPr>
          <w:p>
            <w:pPr>
              <w:adjustRightInd w:val="0"/>
              <w:snapToGrid w:val="0"/>
              <w:rPr>
                <w:rFonts w:ascii="Arial Narrow" w:hAnsi="Arial Narrow" w:eastAsia="仿宋_GB2312"/>
                <w:color w:val="auto"/>
                <w:sz w:val="24"/>
              </w:rPr>
            </w:pPr>
          </w:p>
        </w:tc>
        <w:tc>
          <w:tcPr>
            <w:tcW w:w="1985" w:type="dxa"/>
            <w:vAlign w:val="top"/>
          </w:tcPr>
          <w:p>
            <w:pPr>
              <w:adjustRightInd w:val="0"/>
              <w:snapToGrid w:val="0"/>
              <w:jc w:val="center"/>
              <w:rPr>
                <w:rFonts w:ascii="Arial Narrow" w:hAnsi="Arial Narrow" w:eastAsia="仿宋_GB2312"/>
                <w:color w:val="auto"/>
                <w:sz w:val="24"/>
              </w:rPr>
            </w:pPr>
          </w:p>
        </w:tc>
        <w:tc>
          <w:tcPr>
            <w:tcW w:w="2551" w:type="dxa"/>
            <w:vAlign w:val="center"/>
          </w:tcPr>
          <w:p>
            <w:pPr>
              <w:adjustRightInd w:val="0"/>
              <w:snapToGrid w:val="0"/>
              <w:jc w:val="center"/>
              <w:rPr>
                <w:rFonts w:ascii="Arial Narrow" w:hAnsi="Arial Narrow" w:eastAsia="仿宋_GB2312"/>
                <w:color w:val="auto"/>
                <w:sz w:val="24"/>
              </w:rPr>
            </w:pPr>
          </w:p>
        </w:tc>
        <w:tc>
          <w:tcPr>
            <w:tcW w:w="851" w:type="dxa"/>
            <w:vAlign w:val="top"/>
          </w:tcPr>
          <w:p>
            <w:pPr>
              <w:adjustRightInd w:val="0"/>
              <w:snapToGrid w:val="0"/>
              <w:jc w:val="center"/>
              <w:rPr>
                <w:rFonts w:ascii="Arial Narrow" w:hAnsi="Arial Narrow" w:eastAsia="仿宋_GB2312"/>
                <w:color w:val="auto"/>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59" w:type="dxa"/>
            <w:vAlign w:val="center"/>
          </w:tcPr>
          <w:p>
            <w:pPr>
              <w:adjustRightInd w:val="0"/>
              <w:snapToGrid w:val="0"/>
              <w:jc w:val="center"/>
              <w:rPr>
                <w:rFonts w:ascii="Arial Narrow" w:hAnsi="Arial Narrow" w:eastAsia="仿宋_GB2312"/>
                <w:color w:val="auto"/>
                <w:sz w:val="24"/>
              </w:rPr>
            </w:pPr>
          </w:p>
        </w:tc>
        <w:tc>
          <w:tcPr>
            <w:tcW w:w="1984" w:type="dxa"/>
            <w:vAlign w:val="center"/>
          </w:tcPr>
          <w:p>
            <w:pPr>
              <w:adjustRightInd w:val="0"/>
              <w:snapToGrid w:val="0"/>
              <w:rPr>
                <w:rFonts w:ascii="Arial Narrow" w:hAnsi="Arial Narrow" w:eastAsia="仿宋_GB2312"/>
                <w:color w:val="auto"/>
                <w:sz w:val="24"/>
              </w:rPr>
            </w:pPr>
          </w:p>
        </w:tc>
        <w:tc>
          <w:tcPr>
            <w:tcW w:w="1985" w:type="dxa"/>
            <w:vAlign w:val="top"/>
          </w:tcPr>
          <w:p>
            <w:pPr>
              <w:adjustRightInd w:val="0"/>
              <w:snapToGrid w:val="0"/>
              <w:jc w:val="center"/>
              <w:rPr>
                <w:rFonts w:ascii="Arial Narrow" w:hAnsi="Arial Narrow" w:eastAsia="仿宋_GB2312"/>
                <w:color w:val="auto"/>
                <w:sz w:val="24"/>
              </w:rPr>
            </w:pPr>
          </w:p>
        </w:tc>
        <w:tc>
          <w:tcPr>
            <w:tcW w:w="2551" w:type="dxa"/>
            <w:vAlign w:val="center"/>
          </w:tcPr>
          <w:p>
            <w:pPr>
              <w:adjustRightInd w:val="0"/>
              <w:snapToGrid w:val="0"/>
              <w:jc w:val="center"/>
              <w:rPr>
                <w:rFonts w:ascii="Arial Narrow" w:hAnsi="Arial Narrow" w:eastAsia="仿宋_GB2312"/>
                <w:color w:val="auto"/>
                <w:sz w:val="24"/>
              </w:rPr>
            </w:pPr>
          </w:p>
        </w:tc>
        <w:tc>
          <w:tcPr>
            <w:tcW w:w="851" w:type="dxa"/>
            <w:vAlign w:val="top"/>
          </w:tcPr>
          <w:p>
            <w:pPr>
              <w:adjustRightInd w:val="0"/>
              <w:snapToGrid w:val="0"/>
              <w:jc w:val="center"/>
              <w:rPr>
                <w:rFonts w:ascii="Arial Narrow" w:hAnsi="Arial Narrow" w:eastAsia="仿宋_GB2312"/>
                <w:color w:val="auto"/>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59" w:type="dxa"/>
            <w:tcBorders>
              <w:bottom w:val="single" w:color="auto" w:sz="8" w:space="0"/>
            </w:tcBorders>
            <w:vAlign w:val="center"/>
          </w:tcPr>
          <w:p>
            <w:pPr>
              <w:adjustRightInd w:val="0"/>
              <w:snapToGrid w:val="0"/>
              <w:jc w:val="center"/>
              <w:rPr>
                <w:rFonts w:ascii="Arial Narrow" w:hAnsi="Arial Narrow" w:eastAsia="仿宋_GB2312"/>
                <w:color w:val="auto"/>
                <w:sz w:val="24"/>
              </w:rPr>
            </w:pPr>
            <w:r>
              <w:rPr>
                <w:rFonts w:ascii="仿宋_GB2312" w:hAnsi="仿宋" w:eastAsia="仿宋_GB2312" w:cs="Arial"/>
                <w:b/>
                <w:color w:val="auto"/>
                <w:sz w:val="24"/>
                <w:szCs w:val="24"/>
              </w:rPr>
              <w:t>裁判总人数</w:t>
            </w:r>
          </w:p>
        </w:tc>
        <w:tc>
          <w:tcPr>
            <w:tcW w:w="7371" w:type="dxa"/>
            <w:gridSpan w:val="4"/>
            <w:tcBorders>
              <w:bottom w:val="single" w:color="auto" w:sz="8" w:space="0"/>
            </w:tcBorders>
            <w:vAlign w:val="top"/>
          </w:tcPr>
          <w:p>
            <w:pPr>
              <w:adjustRightInd w:val="0"/>
              <w:snapToGrid w:val="0"/>
              <w:jc w:val="center"/>
              <w:rPr>
                <w:rFonts w:hint="eastAsia" w:ascii="Arial Narrow" w:hAnsi="Arial Narrow" w:eastAsia="仿宋_GB2312"/>
                <w:color w:val="auto"/>
                <w:sz w:val="24"/>
                <w:lang w:val="en-US" w:eastAsia="zh-CN"/>
              </w:rPr>
            </w:pPr>
            <w:r>
              <w:rPr>
                <w:rFonts w:hint="eastAsia" w:ascii="Arial Narrow" w:hAnsi="Arial Narrow" w:eastAsia="仿宋_GB2312"/>
                <w:color w:val="auto"/>
                <w:sz w:val="24"/>
                <w:lang w:val="en-US" w:eastAsia="zh-CN"/>
              </w:rPr>
              <w:t>16人</w:t>
            </w:r>
          </w:p>
        </w:tc>
      </w:tr>
    </w:tbl>
    <w:p>
      <w:pPr>
        <w:snapToGrid w:val="0"/>
        <w:spacing w:line="560" w:lineRule="exact"/>
        <w:ind w:firstLine="600" w:firstLineChars="200"/>
        <w:rPr>
          <w:rFonts w:hint="eastAsia" w:ascii="Arial Narrow" w:hAnsi="Arial Narrow" w:eastAsia="仿宋_GB2312" w:cs="Arial"/>
          <w:b/>
          <w:color w:val="auto"/>
          <w:sz w:val="30"/>
          <w:szCs w:val="30"/>
        </w:rPr>
      </w:pPr>
    </w:p>
    <w:p>
      <w:pPr>
        <w:snapToGrid w:val="0"/>
        <w:spacing w:line="560" w:lineRule="exact"/>
        <w:ind w:firstLine="600" w:firstLineChars="200"/>
        <w:rPr>
          <w:rFonts w:ascii="Arial Narrow" w:hAnsi="Arial Narrow" w:eastAsia="仿宋_GB2312" w:cs="Arial"/>
          <w:b/>
          <w:color w:val="auto"/>
          <w:sz w:val="30"/>
          <w:szCs w:val="30"/>
        </w:rPr>
      </w:pPr>
      <w:r>
        <w:rPr>
          <w:rFonts w:ascii="Arial Narrow" w:hAnsi="Arial Narrow" w:eastAsia="仿宋_GB2312" w:cs="Arial"/>
          <w:b/>
          <w:color w:val="auto"/>
          <w:sz w:val="30"/>
          <w:szCs w:val="30"/>
        </w:rPr>
        <w:t>二十一、其他</w:t>
      </w:r>
    </w:p>
    <w:p>
      <w:pPr>
        <w:pStyle w:val="8"/>
        <w:adjustRightInd w:val="0"/>
        <w:snapToGrid w:val="0"/>
        <w:spacing w:line="360" w:lineRule="auto"/>
        <w:ind w:firstLine="627" w:firstLineChars="196"/>
        <w:rPr>
          <w:rFonts w:ascii="仿宋_GB2312" w:hAnsi="华文中宋" w:eastAsia="仿宋_GB2312"/>
          <w:color w:val="auto"/>
          <w:sz w:val="32"/>
          <w:szCs w:val="32"/>
        </w:rPr>
      </w:pPr>
      <w:r>
        <w:rPr>
          <w:rFonts w:hint="eastAsia" w:ascii="仿宋_GB2312" w:hAnsi="华文中宋" w:eastAsia="仿宋_GB2312"/>
          <w:color w:val="auto"/>
          <w:sz w:val="32"/>
          <w:szCs w:val="32"/>
        </w:rPr>
        <w:t>无</w:t>
      </w:r>
    </w:p>
    <w:p>
      <w:pPr>
        <w:snapToGrid w:val="0"/>
        <w:spacing w:line="560" w:lineRule="exact"/>
        <w:ind w:firstLine="600" w:firstLineChars="200"/>
        <w:rPr>
          <w:rFonts w:ascii="Arial Narrow" w:hAnsi="Arial Narrow" w:eastAsia="仿宋_GB2312" w:cs="Arial"/>
          <w:b/>
          <w:color w:val="auto"/>
          <w:sz w:val="30"/>
          <w:szCs w:val="30"/>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80E0000" w:usb2="00000010" w:usb3="00000000" w:csb0="00040000" w:csb1="00000000"/>
  </w:font>
  <w:font w:name="Calibri">
    <w:panose1 w:val="020F0502020204030204"/>
    <w:charset w:val="00"/>
    <w:family w:val="auto"/>
    <w:pitch w:val="default"/>
    <w:sig w:usb0="E10002FF" w:usb1="4000ACFF" w:usb2="00000009" w:usb3="00000000" w:csb0="2000019F" w:csb1="00000000"/>
  </w:font>
  <w:font w:name="Arial Narrow">
    <w:panose1 w:val="020B0606020202030204"/>
    <w:charset w:val="00"/>
    <w:family w:val="auto"/>
    <w:pitch w:val="default"/>
    <w:sig w:usb0="00000287" w:usb1="00000800" w:usb2="00000000" w:usb3="00000000" w:csb0="2000009F" w:csb1="DFD7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GB2312">
    <w:altName w:val="宋体"/>
    <w:panose1 w:val="00000000000000000000"/>
    <w:charset w:val="86"/>
    <w:family w:val="auto"/>
    <w:pitch w:val="default"/>
    <w:sig w:usb0="00000000" w:usb1="00000000" w:usb2="00000000" w:usb3="00000000" w:csb0="00040001" w:csb1="00000000"/>
  </w:font>
  <w:font w:name="Arial Unicode MS">
    <w:altName w:val="宋体"/>
    <w:panose1 w:val="020B0604020202020204"/>
    <w:charset w:val="86"/>
    <w:family w:val="auto"/>
    <w:pitch w:val="default"/>
    <w:sig w:usb0="F7FFAFFF" w:usb1="E9DFFFFF" w:usb2="0000003F" w:usb3="00000000" w:csb0="003F01FF" w:csb1="00000000"/>
  </w:font>
  <w:font w:name="GB2312">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16</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65203379">
    <w:nsid w:val="27A632B3"/>
    <w:multiLevelType w:val="multilevel"/>
    <w:tmpl w:val="27A632B3"/>
    <w:lvl w:ilvl="0" w:tentative="1">
      <w:start w:val="1"/>
      <w:numFmt w:val="decimal"/>
      <w:lvlText w:val="%1)"/>
      <w:lvlJc w:val="left"/>
      <w:pPr>
        <w:ind w:left="900" w:hanging="420"/>
      </w:pPr>
      <w:rPr>
        <w:color w:val="auto"/>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813596062">
    <w:nsid w:val="6C19479E"/>
    <w:multiLevelType w:val="multilevel"/>
    <w:tmpl w:val="6C19479E"/>
    <w:lvl w:ilvl="0" w:tentative="1">
      <w:start w:val="1"/>
      <w:numFmt w:val="decimalEnclosedParen"/>
      <w:lvlText w:val="%1"/>
      <w:lvlJc w:val="left"/>
      <w:pPr>
        <w:ind w:left="1000" w:hanging="36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1813596062"/>
  </w:num>
  <w:num w:numId="2">
    <w:abstractNumId w:val="6652033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F1A20"/>
    <w:rsid w:val="00086510"/>
    <w:rsid w:val="000F7461"/>
    <w:rsid w:val="001C4942"/>
    <w:rsid w:val="0024538F"/>
    <w:rsid w:val="002D37E5"/>
    <w:rsid w:val="004A3DEB"/>
    <w:rsid w:val="00530939"/>
    <w:rsid w:val="00592619"/>
    <w:rsid w:val="005A43C7"/>
    <w:rsid w:val="005F2BA9"/>
    <w:rsid w:val="00635548"/>
    <w:rsid w:val="006B17C5"/>
    <w:rsid w:val="00780730"/>
    <w:rsid w:val="007B5EAB"/>
    <w:rsid w:val="007E5733"/>
    <w:rsid w:val="00807416"/>
    <w:rsid w:val="0089516B"/>
    <w:rsid w:val="008B38AA"/>
    <w:rsid w:val="00906AE8"/>
    <w:rsid w:val="009A6B96"/>
    <w:rsid w:val="009A7ACA"/>
    <w:rsid w:val="009B55E1"/>
    <w:rsid w:val="00A33BC2"/>
    <w:rsid w:val="00BA768E"/>
    <w:rsid w:val="00BC63FF"/>
    <w:rsid w:val="00C000B2"/>
    <w:rsid w:val="00CF0CD8"/>
    <w:rsid w:val="00D573D8"/>
    <w:rsid w:val="00D845A3"/>
    <w:rsid w:val="00DF1A20"/>
    <w:rsid w:val="00DF3351"/>
    <w:rsid w:val="00F631E1"/>
    <w:rsid w:val="084C21AB"/>
    <w:rsid w:val="0A0D6FE8"/>
    <w:rsid w:val="2E346FDA"/>
    <w:rsid w:val="42C03D90"/>
    <w:rsid w:val="56A54290"/>
    <w:rsid w:val="5A567846"/>
    <w:rsid w:val="60725AC7"/>
    <w:rsid w:val="666C7096"/>
    <w:rsid w:val="79F80A27"/>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ody Text Indent"/>
    <w:basedOn w:val="1"/>
    <w:link w:val="12"/>
    <w:uiPriority w:val="0"/>
    <w:pPr>
      <w:ind w:firstLine="600"/>
    </w:pPr>
    <w:rPr>
      <w:rFonts w:eastAsia="仿宋_GB2312"/>
      <w:bCs/>
      <w:sz w:val="32"/>
    </w:rPr>
  </w:style>
  <w:style w:type="paragraph" w:styleId="3">
    <w:name w:val="Balloon Text"/>
    <w:basedOn w:val="1"/>
    <w:link w:val="11"/>
    <w:uiPriority w:val="0"/>
    <w:rPr>
      <w:sz w:val="18"/>
      <w:szCs w:val="18"/>
    </w:rPr>
  </w:style>
  <w:style w:type="paragraph" w:styleId="4">
    <w:name w:val="footer"/>
    <w:basedOn w:val="1"/>
    <w:link w:val="9"/>
    <w:unhideWhenUsed/>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34"/>
    <w:pPr>
      <w:ind w:firstLine="420" w:firstLineChars="200"/>
    </w:pPr>
    <w:rPr>
      <w:rFonts w:ascii="Calibri" w:hAnsi="Calibri"/>
      <w:szCs w:val="22"/>
    </w:rPr>
  </w:style>
  <w:style w:type="character" w:customStyle="1" w:styleId="9">
    <w:name w:val="页脚 Char"/>
    <w:basedOn w:val="6"/>
    <w:link w:val="4"/>
    <w:uiPriority w:val="0"/>
    <w:rPr>
      <w:rFonts w:eastAsia="宋体"/>
      <w:kern w:val="2"/>
      <w:sz w:val="18"/>
      <w:szCs w:val="18"/>
      <w:lang w:val="en-US" w:eastAsia="zh-CN" w:bidi="ar-SA"/>
    </w:rPr>
  </w:style>
  <w:style w:type="character" w:customStyle="1" w:styleId="10">
    <w:name w:val="页眉 Char"/>
    <w:basedOn w:val="6"/>
    <w:link w:val="5"/>
    <w:uiPriority w:val="0"/>
    <w:rPr>
      <w:kern w:val="2"/>
      <w:sz w:val="18"/>
      <w:szCs w:val="18"/>
    </w:rPr>
  </w:style>
  <w:style w:type="character" w:customStyle="1" w:styleId="11">
    <w:name w:val="批注框文本 Char"/>
    <w:basedOn w:val="6"/>
    <w:link w:val="3"/>
    <w:uiPriority w:val="0"/>
    <w:rPr>
      <w:kern w:val="2"/>
      <w:sz w:val="18"/>
      <w:szCs w:val="18"/>
    </w:rPr>
  </w:style>
  <w:style w:type="character" w:customStyle="1" w:styleId="12">
    <w:name w:val="正文文本缩进 Char"/>
    <w:link w:val="2"/>
    <w:uiPriority w:val="0"/>
    <w:rPr>
      <w:rFonts w:eastAsia="仿宋_GB2312"/>
      <w:bCs/>
      <w:kern w:val="2"/>
      <w:sz w:val="32"/>
    </w:rPr>
  </w:style>
  <w:style w:type="character" w:customStyle="1" w:styleId="13">
    <w:name w:val="正文文本缩进 Char1"/>
    <w:basedOn w:val="6"/>
    <w:link w:val="2"/>
    <w:uiPriority w:val="0"/>
    <w:rPr>
      <w:kern w:val="2"/>
      <w:sz w:val="21"/>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915</Words>
  <Characters>5222</Characters>
  <Lines>43</Lines>
  <Paragraphs>12</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2015-08-28T05:48:00Z</dcterms:created>
  <dc:creator>Administrator</dc:creator>
  <cp:lastModifiedBy>CCEN</cp:lastModifiedBy>
  <dcterms:modified xsi:type="dcterms:W3CDTF">2015-08-28T08:27:42Z</dcterms:modified>
  <dc:title>2016年全国职业院校技能大赛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